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61F590C6" w:rsidR="00EE1AB6" w:rsidRPr="0015553B" w:rsidRDefault="00EB6401" w:rsidP="00F85D91">
      <w:pPr>
        <w:pStyle w:val="Heading1"/>
        <w:rPr>
          <w:sz w:val="42"/>
          <w:szCs w:val="42"/>
        </w:rPr>
      </w:pPr>
      <w:r w:rsidRPr="0015553B">
        <w:rPr>
          <w:b w:val="0"/>
          <w:caps/>
          <w:noProof/>
          <w:color w:val="4F81BD" w:themeColor="accen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5FAE" wp14:editId="50EE25B1">
                <wp:simplePos x="0" y="0"/>
                <wp:positionH relativeFrom="column">
                  <wp:posOffset>34290</wp:posOffset>
                </wp:positionH>
                <wp:positionV relativeFrom="paragraph">
                  <wp:posOffset>618490</wp:posOffset>
                </wp:positionV>
                <wp:extent cx="1434465" cy="0"/>
                <wp:effectExtent l="0" t="0" r="133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8045C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8.7pt" to="115.6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" strokecolor="#6cb744" strokeweight="2.5pt"/>
            </w:pict>
          </mc:Fallback>
        </mc:AlternateContent>
      </w:r>
      <w:r w:rsidR="00EE1AB6" w:rsidRPr="0015553B">
        <w:rPr>
          <w:sz w:val="42"/>
          <w:szCs w:val="42"/>
        </w:rPr>
        <w:t xml:space="preserve">Report to the Minister </w:t>
      </w:r>
      <w:r w:rsidR="005830BB">
        <w:rPr>
          <w:sz w:val="42"/>
          <w:szCs w:val="42"/>
        </w:rPr>
        <w:t>Oct</w:t>
      </w:r>
      <w:r w:rsidR="00F34387" w:rsidRPr="0015553B">
        <w:rPr>
          <w:sz w:val="42"/>
          <w:szCs w:val="42"/>
        </w:rPr>
        <w:t>-</w:t>
      </w:r>
      <w:r w:rsidR="005830BB">
        <w:rPr>
          <w:sz w:val="42"/>
          <w:szCs w:val="42"/>
        </w:rPr>
        <w:t>Dec</w:t>
      </w:r>
      <w:r w:rsidR="001B2DA8" w:rsidRPr="0015553B">
        <w:rPr>
          <w:sz w:val="42"/>
          <w:szCs w:val="42"/>
        </w:rPr>
        <w:t xml:space="preserve"> </w:t>
      </w:r>
      <w:r w:rsidR="00F34387" w:rsidRPr="0015553B">
        <w:rPr>
          <w:sz w:val="42"/>
          <w:szCs w:val="42"/>
        </w:rPr>
        <w:t>20</w:t>
      </w:r>
      <w:r w:rsidR="005A6365" w:rsidRPr="0015553B">
        <w:rPr>
          <w:sz w:val="42"/>
          <w:szCs w:val="42"/>
        </w:rPr>
        <w:t>2</w:t>
      </w:r>
      <w:r w:rsidR="00DB67D3" w:rsidRPr="0015553B">
        <w:rPr>
          <w:sz w:val="42"/>
          <w:szCs w:val="42"/>
        </w:rPr>
        <w:t>2</w:t>
      </w:r>
    </w:p>
    <w:p w14:paraId="0305A23A" w14:textId="5EDB4FEC" w:rsidR="00942937" w:rsidRDefault="006B4C2D" w:rsidP="00505093">
      <w:pPr>
        <w:pStyle w:val="Headline3"/>
      </w:pPr>
      <w:r>
        <w:t>2nd</w:t>
      </w:r>
      <w:r w:rsidR="002D05F3">
        <w:t xml:space="preserve"> </w:t>
      </w:r>
      <w:r w:rsidR="00942937">
        <w:t>quarter 20</w:t>
      </w:r>
      <w:r w:rsidR="005A6365">
        <w:t>2</w:t>
      </w:r>
      <w:r>
        <w:t>2</w:t>
      </w:r>
      <w:r w:rsidR="001A6EA6">
        <w:t>-</w:t>
      </w:r>
      <w:r w:rsidR="003F1516">
        <w:t>2</w:t>
      </w:r>
      <w:r>
        <w:t>3</w:t>
      </w:r>
    </w:p>
    <w:p w14:paraId="0A2D3D93" w14:textId="4A1CDEC1" w:rsidR="00EE1AB6" w:rsidRPr="00AA0EA8" w:rsidRDefault="00EE1AB6" w:rsidP="00505093">
      <w:pPr>
        <w:autoSpaceDE w:val="0"/>
        <w:autoSpaceDN w:val="0"/>
        <w:adjustRightInd w:val="0"/>
        <w:spacing w:before="120"/>
        <w:ind w:right="0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505093">
          <w:rPr>
            <w:rStyle w:val="Links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505093">
      <w:pPr>
        <w:spacing w:before="120"/>
        <w:ind w:right="0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505093">
          <w:rPr>
            <w:rStyle w:val="Links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3AF36102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373211">
        <w:rPr>
          <w:rFonts w:cs="Arial"/>
        </w:rPr>
        <w:t>October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373211">
        <w:rPr>
          <w:rFonts w:cs="Arial"/>
        </w:rPr>
        <w:t>2</w:t>
      </w:r>
      <w:r w:rsidR="00942937" w:rsidRPr="00AA0EA8">
        <w:rPr>
          <w:rFonts w:cs="Arial"/>
        </w:rPr>
        <w:t xml:space="preserve"> to </w:t>
      </w:r>
      <w:r w:rsidR="006F7CF6">
        <w:rPr>
          <w:rFonts w:cs="Arial"/>
        </w:rPr>
        <w:t>3</w:t>
      </w:r>
      <w:r w:rsidR="00373211">
        <w:rPr>
          <w:rFonts w:cs="Arial"/>
        </w:rPr>
        <w:t>1</w:t>
      </w:r>
      <w:r w:rsidR="00942937" w:rsidRPr="00AA0EA8">
        <w:rPr>
          <w:rFonts w:cs="Arial"/>
        </w:rPr>
        <w:t xml:space="preserve"> </w:t>
      </w:r>
      <w:r w:rsidR="00373211">
        <w:rPr>
          <w:rFonts w:cs="Arial"/>
        </w:rPr>
        <w:t>December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7B4847">
        <w:rPr>
          <w:rFonts w:cs="Arial"/>
        </w:rPr>
        <w:t>2</w:t>
      </w:r>
      <w:r w:rsidRPr="00AA0EA8">
        <w:rPr>
          <w:rFonts w:cs="Arial"/>
        </w:rPr>
        <w:t>.</w:t>
      </w:r>
    </w:p>
    <w:p w14:paraId="57E2DE03" w14:textId="77777777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505093" w:rsidRDefault="00942937" w:rsidP="00E32660">
            <w:pPr>
              <w:jc w:val="right"/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3131714D" w:rsidR="00942937" w:rsidRPr="00F56064" w:rsidRDefault="00FE78D8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3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376EA8D" w:rsidR="00942937" w:rsidRPr="00F56064" w:rsidRDefault="004E4F08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ED142D">
              <w:rPr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7D77D595" w:rsidR="00942937" w:rsidRPr="00F56064" w:rsidRDefault="00FE78D8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7E4B3B" w14:paraId="3D6A2A84" w14:textId="77777777" w:rsidTr="004E4F08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320F043" w:rsidR="00942937" w:rsidRPr="00F56064" w:rsidRDefault="0040121E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1CF593A1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B2560">
              <w:rPr>
                <w:rFonts w:cs="Arial"/>
                <w:color w:val="000000"/>
                <w:szCs w:val="20"/>
                <w:lang w:val="en-AU" w:eastAsia="en-AU"/>
              </w:rPr>
              <w:t>267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6E2679BF" w:rsidR="00942937" w:rsidRPr="00F56064" w:rsidRDefault="00FB256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1187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2F9C6339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0D12A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29963D3B" w:rsidR="00942937" w:rsidRPr="00F56064" w:rsidRDefault="000D12A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70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1C5D3C07" w:rsidR="00942937" w:rsidRPr="00F56064" w:rsidRDefault="0015172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77AAF844" w:rsidR="00942937" w:rsidRPr="00F56064" w:rsidRDefault="0015172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5B309E72" w:rsidR="00942937" w:rsidRPr="00F56064" w:rsidRDefault="0025446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1130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5EF9D91F" w:rsidR="003458CC" w:rsidRPr="00F56064" w:rsidRDefault="002544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517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46D3C8F6" w:rsidR="003458CC" w:rsidRPr="00F56064" w:rsidRDefault="002544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613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0DF7C28B" w:rsidR="003458CC" w:rsidRPr="00F56064" w:rsidRDefault="002544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1058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05A44BD9" w:rsidR="003458CC" w:rsidRPr="00F56064" w:rsidRDefault="000C1C5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7507B9A8" w:rsidR="003458CC" w:rsidRPr="00F56064" w:rsidRDefault="002544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679E96E6" w:rsidR="003458CC" w:rsidRPr="00F56064" w:rsidRDefault="00C702B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4FC9C39E" w:rsidR="003458CC" w:rsidRPr="00F56064" w:rsidRDefault="0049705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16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0D9B14E1" w:rsidR="003458CC" w:rsidRPr="00F56064" w:rsidRDefault="0049705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15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(s.212)*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7A37A1AC" w:rsidR="003458CC" w:rsidRPr="00F56064" w:rsidRDefault="0049705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5DD88361" w:rsidR="003458CC" w:rsidRPr="00F56064" w:rsidRDefault="0049705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4AB53411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9705C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279637EA" w:rsidR="003458CC" w:rsidRPr="00F56064" w:rsidRDefault="0049705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67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0989CB60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DA502C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3A4C8113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2627F0AA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DA502C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24899455" w:rsidR="003458CC" w:rsidRPr="00F56064" w:rsidRDefault="00DA50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6B6BF442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DA502C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6D62B2A1" w:rsidR="003458CC" w:rsidRPr="00F56064" w:rsidRDefault="00DA50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4335A87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6C02D0B5" w:rsidR="003458CC" w:rsidRPr="00F56064" w:rsidRDefault="00DA50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29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75D1AE17" w:rsidR="003458CC" w:rsidRPr="00F56064" w:rsidRDefault="0058290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7FC96298" w:rsidR="003458CC" w:rsidRPr="00F56064" w:rsidRDefault="0058290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1CB00156" w:rsidR="003458CC" w:rsidRPr="00F56064" w:rsidRDefault="00674A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00DD33E0" w:rsidR="003458CC" w:rsidRPr="00F56064" w:rsidRDefault="0058290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64B8613A" w:rsidR="003458CC" w:rsidRPr="00F56064" w:rsidRDefault="0058290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0319C3D" w:rsidR="003458CC" w:rsidRPr="00F56064" w:rsidRDefault="00674A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38C8DCD7" w:rsidR="003458CC" w:rsidRPr="00F56064" w:rsidRDefault="0058290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16A36E59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F2FFC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5A0D7CD1" w:rsidR="003458CC" w:rsidRPr="00F56064" w:rsidRDefault="00CF2FF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393823A8" w:rsidR="003458CC" w:rsidRPr="00F56064" w:rsidRDefault="00CF2FF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1662E17E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F2FFC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18E8CD5D" w:rsidR="003458CC" w:rsidRPr="00F56064" w:rsidRDefault="00CF2FF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4B374F92" w:rsidR="003458CC" w:rsidRPr="00F56064" w:rsidRDefault="00CF2FF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6EF4D65E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F2FFC">
              <w:rPr>
                <w:rFonts w:cs="Arial"/>
                <w:color w:val="000000"/>
                <w:szCs w:val="20"/>
                <w:lang w:val="en-AU" w:eastAsia="en-AU"/>
              </w:rPr>
              <w:t>290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7F8CBF2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6E5C59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F2FFC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72FFE7B4" w:rsidR="003458CC" w:rsidRPr="00F56064" w:rsidRDefault="00FF4D2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1134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2700309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F4D26">
              <w:rPr>
                <w:rFonts w:cs="Arial"/>
                <w:color w:val="000000"/>
                <w:szCs w:val="20"/>
                <w:lang w:val="en-AU" w:eastAsia="en-AU"/>
              </w:rPr>
              <w:t>87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794201CE" w:rsidR="003458CC" w:rsidRPr="00F56064" w:rsidRDefault="00FF4D2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F4D26">
              <w:rPr>
                <w:rFonts w:cs="Arial"/>
                <w:color w:val="000000"/>
                <w:szCs w:val="20"/>
                <w:lang w:val="en-AU" w:eastAsia="en-AU"/>
              </w:rPr>
              <w:t>197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730B108B" w:rsidR="003458CC" w:rsidRPr="000B78F3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Cs/>
                <w:color w:val="000000"/>
                <w:szCs w:val="20"/>
                <w:lang w:val="en-AU" w:eastAsia="en-AU"/>
              </w:rPr>
              <w:t>2</w:t>
            </w:r>
            <w:r w:rsidR="00BE0459">
              <w:rPr>
                <w:rFonts w:cs="Arial"/>
                <w:bCs/>
                <w:color w:val="000000"/>
                <w:szCs w:val="20"/>
                <w:lang w:val="en-AU" w:eastAsia="en-AU"/>
              </w:rPr>
              <w:t>696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74C48448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6A329B27" w:rsidR="003458CC" w:rsidRPr="00F56064" w:rsidRDefault="00BE045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2059573F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BE0459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0D24478F" w:rsidR="003458CC" w:rsidRPr="00F56064" w:rsidRDefault="000B481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398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5352380D" w:rsidR="003458CC" w:rsidRPr="00F56064" w:rsidRDefault="000B481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35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28B411E6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17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14131375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75F3D43C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4C81A55E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68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4F7B18DB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2558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40B484E8" w:rsidR="003458CC" w:rsidRPr="00F56064" w:rsidRDefault="0065581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  <w:r w:rsidR="007C7AC7">
              <w:rPr>
                <w:rFonts w:cs="Arial"/>
                <w:color w:val="000000"/>
                <w:szCs w:val="20"/>
                <w:lang w:val="en-AU" w:eastAsia="en-AU"/>
              </w:rPr>
              <w:t>3.51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0977E839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7C7AC7">
              <w:rPr>
                <w:rFonts w:cs="Arial"/>
                <w:color w:val="000000" w:themeColor="text1"/>
                <w:szCs w:val="20"/>
                <w:lang w:val="en-AU" w:eastAsia="en-AU"/>
              </w:rPr>
              <w:t>125</w:t>
            </w:r>
          </w:p>
        </w:tc>
      </w:tr>
      <w:tr w:rsidR="003458CC" w:rsidRPr="00860C3B" w14:paraId="01AB646C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26F6848A" w:rsidR="003458CC" w:rsidRPr="007C7AC7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7C7AC7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3458CC" w:rsidRPr="007C7AC7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6C84F8B" w14:textId="77777777" w:rsidTr="003B1B9D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5D0F403C" w:rsidR="003458CC" w:rsidRPr="007C7AC7" w:rsidRDefault="00F14DF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C7AC7">
              <w:rPr>
                <w:rFonts w:cs="Arial"/>
                <w:color w:val="000000"/>
                <w:szCs w:val="20"/>
                <w:lang w:val="en-AU" w:eastAsia="en-AU"/>
              </w:rPr>
              <w:t>16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72D01B49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AF0D64">
              <w:rPr>
                <w:rFonts w:cs="Arial"/>
                <w:color w:val="000000"/>
                <w:szCs w:val="20"/>
                <w:lang w:val="en-AU" w:eastAsia="en-AU"/>
              </w:rPr>
              <w:t>64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6F6A26F8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0E1101DD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26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39D395C7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66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16E7DB44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6B1383DE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AF0D64">
              <w:rPr>
                <w:rFonts w:cs="Arial"/>
                <w:color w:val="000000"/>
                <w:szCs w:val="20"/>
                <w:lang w:val="en-AU" w:eastAsia="en-AU"/>
              </w:rPr>
              <w:t>66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0B09C667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38584B7C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62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1D4550A9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596CCDC6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4A4B0D42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3C958AD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962CC6E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3E3F73AC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4546073F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70CB3">
              <w:rPr>
                <w:rFonts w:cs="Arial"/>
                <w:color w:val="000000"/>
                <w:szCs w:val="20"/>
                <w:lang w:val="en-AU" w:eastAsia="en-AU"/>
              </w:rPr>
              <w:t>61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0F058D89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748944F0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F70CB3">
              <w:rPr>
                <w:rFonts w:cs="Arial"/>
                <w:color w:val="000000"/>
                <w:szCs w:val="20"/>
                <w:lang w:val="en-AU" w:eastAsia="en-AU"/>
              </w:rPr>
              <w:t>76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269476CD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60A0C63C" w:rsidR="003458CC" w:rsidRPr="00F56064" w:rsidRDefault="00F44A2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F70CB3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7BA9C166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11B98692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42553506" w:rsidR="003458CC" w:rsidRPr="00F56064" w:rsidRDefault="005A712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4E1C409F" w:rsidR="00EE1AB6" w:rsidRPr="00505093" w:rsidRDefault="00505093" w:rsidP="00505093">
      <w:pPr>
        <w:rPr>
          <w:b/>
          <w:sz w:val="24"/>
        </w:rPr>
      </w:pPr>
      <w:r>
        <w:rPr>
          <w:b/>
          <w:sz w:val="24"/>
        </w:rPr>
        <w:br/>
      </w:r>
      <w:r w:rsidR="00EE1AB6" w:rsidRPr="00505093">
        <w:rPr>
          <w:b/>
          <w:sz w:val="24"/>
        </w:rPr>
        <w:t>Notes</w:t>
      </w:r>
    </w:p>
    <w:p w14:paraId="2006CAB5" w14:textId="77777777" w:rsidR="00EE1AB6" w:rsidRDefault="00EE1AB6" w:rsidP="00505093"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505093"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505093"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505093"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Disclaimer</w:t>
      </w:r>
    </w:p>
    <w:p w14:paraId="0C71D419" w14:textId="72872B71" w:rsidR="00C90AB7" w:rsidRDefault="00C90AB7" w:rsidP="00505093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505093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Further information</w:t>
      </w:r>
    </w:p>
    <w:p w14:paraId="05C8345A" w14:textId="62BBE483" w:rsidR="001D1A10" w:rsidRPr="00606400" w:rsidRDefault="00DE7C11" w:rsidP="00505093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>at</w:t>
      </w:r>
      <w:r w:rsidR="00A030FA" w:rsidRPr="00505093">
        <w:rPr>
          <w:rStyle w:val="Links"/>
        </w:rPr>
        <w:t xml:space="preserve"> </w:t>
      </w:r>
      <w:hyperlink r:id="rId13" w:history="1">
        <w:r w:rsidR="00A030FA" w:rsidRPr="00505093">
          <w:rPr>
            <w:rStyle w:val="Links"/>
          </w:rPr>
          <w:t>tdr@fwc.gov.au</w:t>
        </w:r>
      </w:hyperlink>
      <w:r w:rsidR="00491674" w:rsidRPr="0020004C">
        <w:rPr>
          <w:szCs w:val="20"/>
        </w:rPr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42D0" w14:textId="77777777" w:rsidR="00A0260B" w:rsidRDefault="00A0260B" w:rsidP="001C637A">
      <w:r>
        <w:separator/>
      </w:r>
    </w:p>
  </w:endnote>
  <w:endnote w:type="continuationSeparator" w:id="0">
    <w:p w14:paraId="27425C63" w14:textId="77777777" w:rsidR="00A0260B" w:rsidRDefault="00A0260B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1692" w14:textId="77777777" w:rsidR="00A0260B" w:rsidRDefault="00A0260B" w:rsidP="001C637A">
      <w:r>
        <w:separator/>
      </w:r>
    </w:p>
  </w:footnote>
  <w:footnote w:type="continuationSeparator" w:id="0">
    <w:p w14:paraId="065589D2" w14:textId="77777777" w:rsidR="00A0260B" w:rsidRDefault="00A0260B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modernise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>no application to modernise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r w:rsidRPr="00FE3340">
        <w:rPr>
          <w:sz w:val="16"/>
          <w:szCs w:val="16"/>
        </w:rPr>
        <w:t>finalised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r w:rsidRPr="00FE3340">
        <w:rPr>
          <w:sz w:val="16"/>
          <w:szCs w:val="16"/>
        </w:rPr>
        <w:t>finalised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6E623AAB" w:rsidR="00074F1C" w:rsidRDefault="00EB6401" w:rsidP="001C637A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813D4" wp14:editId="497192EE">
          <wp:simplePos x="0" y="0"/>
          <wp:positionH relativeFrom="margin">
            <wp:posOffset>4214495</wp:posOffset>
          </wp:positionH>
          <wp:positionV relativeFrom="margin">
            <wp:posOffset>-990600</wp:posOffset>
          </wp:positionV>
          <wp:extent cx="1828800" cy="541020"/>
          <wp:effectExtent l="0" t="0" r="0" b="0"/>
          <wp:wrapSquare wrapText="bothSides"/>
          <wp:docPr id="1" name="Picture 1" descr="Macintosh HD:Users:pavirao:Desktop:Work:FWC New brand:FWC 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virao:Desktop:Work:FWC New brand:FWC Logo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2" t="17708" r="7068" b="17708"/>
                  <a:stretch/>
                </pic:blipFill>
                <pic:spPr bwMode="auto">
                  <a:xfrm>
                    <a:off x="0" y="0"/>
                    <a:ext cx="1828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07B743C0" w14:textId="0AB8CB77" w:rsidR="00074F1C" w:rsidRDefault="00074F1C" w:rsidP="001C637A"/>
  <w:p w14:paraId="1CAED40D" w14:textId="1CF2CADE" w:rsidR="00074F1C" w:rsidRPr="00EB6401" w:rsidRDefault="00074F1C" w:rsidP="00EB6401">
    <w:pPr>
      <w:pStyle w:val="Headline"/>
      <w:spacing w:before="0" w:after="120" w:line="360" w:lineRule="auto"/>
      <w:rPr>
        <w:lang w:val="en-AU" w:eastAsia="en-AU"/>
      </w:rPr>
    </w:pPr>
    <w:r w:rsidRPr="00EB6401">
      <w:t>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260135241">
    <w:abstractNumId w:val="2"/>
  </w:num>
  <w:num w:numId="2" w16cid:durableId="1221403395">
    <w:abstractNumId w:val="4"/>
  </w:num>
  <w:num w:numId="3" w16cid:durableId="1764761316">
    <w:abstractNumId w:val="3"/>
  </w:num>
  <w:num w:numId="4" w16cid:durableId="812796512">
    <w:abstractNumId w:val="1"/>
  </w:num>
  <w:num w:numId="5" w16cid:durableId="18928858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024C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481D"/>
    <w:rsid w:val="000B6D00"/>
    <w:rsid w:val="000B6F31"/>
    <w:rsid w:val="000B765F"/>
    <w:rsid w:val="000B78F3"/>
    <w:rsid w:val="000C1C50"/>
    <w:rsid w:val="000C4144"/>
    <w:rsid w:val="000C49B7"/>
    <w:rsid w:val="000C6D06"/>
    <w:rsid w:val="000C7281"/>
    <w:rsid w:val="000D12A5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236C4"/>
    <w:rsid w:val="001311EF"/>
    <w:rsid w:val="001343C5"/>
    <w:rsid w:val="001368CB"/>
    <w:rsid w:val="00140D67"/>
    <w:rsid w:val="0014315F"/>
    <w:rsid w:val="0014610D"/>
    <w:rsid w:val="00151729"/>
    <w:rsid w:val="00153165"/>
    <w:rsid w:val="00154E3E"/>
    <w:rsid w:val="0015553B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C637A"/>
    <w:rsid w:val="001C777E"/>
    <w:rsid w:val="001D1141"/>
    <w:rsid w:val="001D1A10"/>
    <w:rsid w:val="001D415A"/>
    <w:rsid w:val="001D6488"/>
    <w:rsid w:val="001E57F2"/>
    <w:rsid w:val="001E7263"/>
    <w:rsid w:val="001E79D9"/>
    <w:rsid w:val="001F278C"/>
    <w:rsid w:val="001F3865"/>
    <w:rsid w:val="001F6767"/>
    <w:rsid w:val="001F766D"/>
    <w:rsid w:val="0020004C"/>
    <w:rsid w:val="00200D92"/>
    <w:rsid w:val="00203776"/>
    <w:rsid w:val="0020404E"/>
    <w:rsid w:val="0020672C"/>
    <w:rsid w:val="002070B4"/>
    <w:rsid w:val="00210C11"/>
    <w:rsid w:val="00221E78"/>
    <w:rsid w:val="0022588E"/>
    <w:rsid w:val="00225B06"/>
    <w:rsid w:val="00225F8B"/>
    <w:rsid w:val="00227F0E"/>
    <w:rsid w:val="00233010"/>
    <w:rsid w:val="0023350F"/>
    <w:rsid w:val="0024036A"/>
    <w:rsid w:val="00243628"/>
    <w:rsid w:val="00243C8D"/>
    <w:rsid w:val="00247312"/>
    <w:rsid w:val="00254465"/>
    <w:rsid w:val="0026344D"/>
    <w:rsid w:val="0026359D"/>
    <w:rsid w:val="00264F7E"/>
    <w:rsid w:val="002676CE"/>
    <w:rsid w:val="002707B9"/>
    <w:rsid w:val="00276856"/>
    <w:rsid w:val="00277767"/>
    <w:rsid w:val="00277BE6"/>
    <w:rsid w:val="0028256E"/>
    <w:rsid w:val="002865EC"/>
    <w:rsid w:val="00294CF5"/>
    <w:rsid w:val="002950B3"/>
    <w:rsid w:val="0029684D"/>
    <w:rsid w:val="002A02C4"/>
    <w:rsid w:val="002A2425"/>
    <w:rsid w:val="002A2853"/>
    <w:rsid w:val="002A3EC2"/>
    <w:rsid w:val="002B10DE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2F2875"/>
    <w:rsid w:val="00302241"/>
    <w:rsid w:val="003100C9"/>
    <w:rsid w:val="00310BD3"/>
    <w:rsid w:val="00311828"/>
    <w:rsid w:val="00322C00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73211"/>
    <w:rsid w:val="00386E6E"/>
    <w:rsid w:val="003A29C3"/>
    <w:rsid w:val="003A30EE"/>
    <w:rsid w:val="003A4052"/>
    <w:rsid w:val="003B1B9D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21E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44A5D"/>
    <w:rsid w:val="004501AA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9705C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5C6"/>
    <w:rsid w:val="004C699D"/>
    <w:rsid w:val="004D23A6"/>
    <w:rsid w:val="004D2F69"/>
    <w:rsid w:val="004D3D63"/>
    <w:rsid w:val="004D3DF1"/>
    <w:rsid w:val="004E30EE"/>
    <w:rsid w:val="004E480D"/>
    <w:rsid w:val="004E4F08"/>
    <w:rsid w:val="004F1C70"/>
    <w:rsid w:val="004F21DD"/>
    <w:rsid w:val="004F49DD"/>
    <w:rsid w:val="0050299D"/>
    <w:rsid w:val="005032CE"/>
    <w:rsid w:val="00505093"/>
    <w:rsid w:val="00505E7D"/>
    <w:rsid w:val="00506674"/>
    <w:rsid w:val="00513CB9"/>
    <w:rsid w:val="0052093A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3DF9"/>
    <w:rsid w:val="00565C01"/>
    <w:rsid w:val="00571BAD"/>
    <w:rsid w:val="005777ED"/>
    <w:rsid w:val="00581D48"/>
    <w:rsid w:val="0058290B"/>
    <w:rsid w:val="005830BB"/>
    <w:rsid w:val="0058482A"/>
    <w:rsid w:val="00590EDB"/>
    <w:rsid w:val="005A6365"/>
    <w:rsid w:val="005A712E"/>
    <w:rsid w:val="005B171E"/>
    <w:rsid w:val="005B378B"/>
    <w:rsid w:val="005C0FE0"/>
    <w:rsid w:val="005C2C4B"/>
    <w:rsid w:val="005C4C02"/>
    <w:rsid w:val="005C6228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5818"/>
    <w:rsid w:val="00656965"/>
    <w:rsid w:val="00656D2A"/>
    <w:rsid w:val="006648C0"/>
    <w:rsid w:val="00666B30"/>
    <w:rsid w:val="00671A95"/>
    <w:rsid w:val="00671E05"/>
    <w:rsid w:val="00674A4F"/>
    <w:rsid w:val="0067651B"/>
    <w:rsid w:val="00680904"/>
    <w:rsid w:val="00682013"/>
    <w:rsid w:val="00685A6D"/>
    <w:rsid w:val="006908B4"/>
    <w:rsid w:val="006928D3"/>
    <w:rsid w:val="00695843"/>
    <w:rsid w:val="006A6BD9"/>
    <w:rsid w:val="006B08D0"/>
    <w:rsid w:val="006B26F1"/>
    <w:rsid w:val="006B2C3E"/>
    <w:rsid w:val="006B4C2D"/>
    <w:rsid w:val="006C4E67"/>
    <w:rsid w:val="006C5E01"/>
    <w:rsid w:val="006D20BF"/>
    <w:rsid w:val="006D20C5"/>
    <w:rsid w:val="006D2DB8"/>
    <w:rsid w:val="006D594C"/>
    <w:rsid w:val="006D6410"/>
    <w:rsid w:val="006E3D71"/>
    <w:rsid w:val="006E5C59"/>
    <w:rsid w:val="006E6C6C"/>
    <w:rsid w:val="006E7027"/>
    <w:rsid w:val="006F7CF6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07BC"/>
    <w:rsid w:val="0073357F"/>
    <w:rsid w:val="00735D1E"/>
    <w:rsid w:val="00741B23"/>
    <w:rsid w:val="00754E4B"/>
    <w:rsid w:val="00760C2B"/>
    <w:rsid w:val="00766AB0"/>
    <w:rsid w:val="00766B25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B4847"/>
    <w:rsid w:val="007C0A46"/>
    <w:rsid w:val="007C1C99"/>
    <w:rsid w:val="007C38FD"/>
    <w:rsid w:val="007C7AC7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23925"/>
    <w:rsid w:val="008307FA"/>
    <w:rsid w:val="0083484B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2B5"/>
    <w:rsid w:val="008D23A0"/>
    <w:rsid w:val="008D46D2"/>
    <w:rsid w:val="008D6759"/>
    <w:rsid w:val="008E1D4C"/>
    <w:rsid w:val="008E4548"/>
    <w:rsid w:val="008E62D8"/>
    <w:rsid w:val="008F7C21"/>
    <w:rsid w:val="00914D77"/>
    <w:rsid w:val="00921650"/>
    <w:rsid w:val="009235C0"/>
    <w:rsid w:val="009239DE"/>
    <w:rsid w:val="00927C6D"/>
    <w:rsid w:val="0093195E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00"/>
    <w:rsid w:val="009C097A"/>
    <w:rsid w:val="009C0C98"/>
    <w:rsid w:val="009C1F49"/>
    <w:rsid w:val="009C3974"/>
    <w:rsid w:val="009D08F1"/>
    <w:rsid w:val="009D3BCA"/>
    <w:rsid w:val="009D799C"/>
    <w:rsid w:val="009F09E9"/>
    <w:rsid w:val="009F741C"/>
    <w:rsid w:val="00A0069D"/>
    <w:rsid w:val="00A0119C"/>
    <w:rsid w:val="00A0238C"/>
    <w:rsid w:val="00A0260B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1E55"/>
    <w:rsid w:val="00AE2792"/>
    <w:rsid w:val="00AE2F88"/>
    <w:rsid w:val="00AF0D64"/>
    <w:rsid w:val="00AF27B7"/>
    <w:rsid w:val="00B01712"/>
    <w:rsid w:val="00B11083"/>
    <w:rsid w:val="00B11A7E"/>
    <w:rsid w:val="00B12DCE"/>
    <w:rsid w:val="00B17B3D"/>
    <w:rsid w:val="00B23C14"/>
    <w:rsid w:val="00B32F0D"/>
    <w:rsid w:val="00B35142"/>
    <w:rsid w:val="00B35346"/>
    <w:rsid w:val="00B35C59"/>
    <w:rsid w:val="00B377BB"/>
    <w:rsid w:val="00B461F4"/>
    <w:rsid w:val="00B64A23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459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02B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7DC3"/>
    <w:rsid w:val="00CE209F"/>
    <w:rsid w:val="00CE2DE0"/>
    <w:rsid w:val="00CE4B2A"/>
    <w:rsid w:val="00CE6E83"/>
    <w:rsid w:val="00CF2FFC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97EC0"/>
    <w:rsid w:val="00DA118B"/>
    <w:rsid w:val="00DA21F8"/>
    <w:rsid w:val="00DA502C"/>
    <w:rsid w:val="00DB0181"/>
    <w:rsid w:val="00DB60A2"/>
    <w:rsid w:val="00DB662A"/>
    <w:rsid w:val="00DB67D3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E7F84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2660"/>
    <w:rsid w:val="00E374EC"/>
    <w:rsid w:val="00E42388"/>
    <w:rsid w:val="00E535F5"/>
    <w:rsid w:val="00E60BFA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01"/>
    <w:rsid w:val="00EB643A"/>
    <w:rsid w:val="00EB66D5"/>
    <w:rsid w:val="00EB66EC"/>
    <w:rsid w:val="00EC2A70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44A28"/>
    <w:rsid w:val="00F56064"/>
    <w:rsid w:val="00F6239A"/>
    <w:rsid w:val="00F63F6B"/>
    <w:rsid w:val="00F70CB3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560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  <w:rsid w:val="00FE78D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9BBE2119-90DE-4C75-AC47-B6146272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093"/>
    <w:pPr>
      <w:tabs>
        <w:tab w:val="left" w:pos="567"/>
        <w:tab w:val="left" w:pos="1134"/>
      </w:tabs>
      <w:spacing w:after="240" w:line="240" w:lineRule="atLeast"/>
      <w:ind w:right="567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EB6401"/>
    <w:pPr>
      <w:outlineLvl w:val="0"/>
    </w:pPr>
    <w:rPr>
      <w:rFonts w:cs="Arial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505093"/>
    <w:rPr>
      <w:rFonts w:ascii="Calibri" w:hAnsi="Calibri"/>
      <w:color w:val="00303C"/>
      <w:sz w:val="22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B6401"/>
    <w:pPr>
      <w:spacing w:before="120" w:after="800"/>
    </w:pPr>
    <w:rPr>
      <w:b/>
      <w:color w:val="0C233F"/>
      <w:sz w:val="48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505093"/>
    <w:pPr>
      <w:keepNext/>
      <w:spacing w:after="120"/>
    </w:pPr>
    <w:rPr>
      <w:b/>
      <w:color w:val="0C233F"/>
      <w:sz w:val="28"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6" ma:contentTypeDescription="Create a new document." ma:contentTypeScope="" ma:versionID="4200218d21987d05379a9f33c1e0be02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8f7fc688fcebc78dcce20d48ec20834e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0871f6-6737-4cc0-87ff-4208f78c2e9b}" ma:internalName="TaxCatchAll" ma:showField="CatchAllData" ma:web="60b44720-f616-428d-b4ac-5a26340d6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e28c71e0-3e06-49a9-be07-8b40d78d7874">
      <Terms xmlns="http://schemas.microsoft.com/office/infopath/2007/PartnerControls"/>
    </lcf76f155ced4ddcb4097134ff3c332f>
    <TaxCatchAll xmlns="60b44720-f616-428d-b4ac-5a26340d62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BA0D5-DD3F-4D99-A8CA-8C82CE24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c71e0-3e06-49a9-be07-8b40d78d7874"/>
    <ds:schemaRef ds:uri="60b44720-f616-428d-b4ac-5a26340d6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E1B29-6D3A-4CD1-AB15-FB15EE7B0201}">
  <ds:schemaRefs>
    <ds:schemaRef ds:uri="http://schemas.microsoft.com/office/2006/metadata/properties"/>
    <ds:schemaRef ds:uri="e28c71e0-3e06-49a9-be07-8b40d78d7874"/>
    <ds:schemaRef ds:uri="http://schemas.microsoft.com/office/infopath/2007/PartnerControls"/>
    <ds:schemaRef ds:uri="60b44720-f616-428d-b4ac-5a26340d6279"/>
  </ds:schemaRefs>
</ds:datastoreItem>
</file>

<file path=customXml/itemProps4.xml><?xml version="1.0" encoding="utf-8"?>
<ds:datastoreItem xmlns:ds="http://schemas.openxmlformats.org/officeDocument/2006/customXml" ds:itemID="{9D94B5D4-433E-5247-B700-2A1A5FF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1</TotalTime>
  <Pages>10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12672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Ellen McGregor</dc:creator>
  <cp:lastModifiedBy>Yiota Kontomichalos</cp:lastModifiedBy>
  <cp:revision>2</cp:revision>
  <cp:lastPrinted>2019-10-23T04:10:00Z</cp:lastPrinted>
  <dcterms:created xsi:type="dcterms:W3CDTF">2023-01-23T23:50:00Z</dcterms:created>
  <dcterms:modified xsi:type="dcterms:W3CDTF">2023-01-23T23:50:00Z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0x0101008633483894BAE9439E887E0AC051F15E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