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41753221"/>
        <w:docPartObj>
          <w:docPartGallery w:val="Cover Pages"/>
          <w:docPartUnique/>
        </w:docPartObj>
      </w:sdtPr>
      <w:sdtEndPr/>
      <w:sdtContent>
        <w:p w14:paraId="7CE83F99" w14:textId="77777777" w:rsidR="00D16848" w:rsidRDefault="00D16848">
          <w:r>
            <w:rPr>
              <w:noProof/>
            </w:rPr>
            <mc:AlternateContent>
              <mc:Choice Requires="wpg">
                <w:drawing>
                  <wp:anchor distT="0" distB="0" distL="114300" distR="114300" simplePos="0" relativeHeight="251661312" behindDoc="0" locked="0" layoutInCell="1" allowOverlap="1" wp14:anchorId="1CFA7FA4" wp14:editId="50FF822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5">
                                  <a:duotone>
                                    <a:prstClr val="black"/>
                                    <a:srgbClr val="C00000">
                                      <a:tint val="45000"/>
                                      <a:satMod val="400000"/>
                                    </a:srgb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5A9E42"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5300f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" stroked="f" strokeweight="1pt">
                      <v:fill r:id="rId16" o:title="" recolor="t" rotate="t" type="frame"/>
                      <v:imagedata recolortarget="black"/>
                    </v:rect>
                    <w10:wrap anchorx="page" anchory="page"/>
                  </v:group>
                </w:pict>
              </mc:Fallback>
            </mc:AlternateContent>
          </w:r>
          <w:r>
            <w:rPr>
              <w:noProof/>
            </w:rPr>
            <mc:AlternateContent>
              <mc:Choice Requires="wps">
                <w:drawing>
                  <wp:anchor distT="0" distB="0" distL="114300" distR="114300" simplePos="0" relativeHeight="251653120" behindDoc="0" locked="0" layoutInCell="1" allowOverlap="1" wp14:anchorId="7532031D" wp14:editId="1AAE58A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E1693" w14:textId="77777777" w:rsidR="00151D1D" w:rsidRDefault="0093567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1D1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32031D" id="_x0000_t202" coordsize="21600,21600" o:spt="202" path="m,l,21600r21600,l21600,xe">
                    <v:stroke joinstyle="miter"/>
                    <v:path gradientshapeok="t" o:connecttype="rect"/>
                  </v:shapetype>
                  <v:shape id="Text Box 152" o:spid="_x0000_s1026" type="#_x0000_t202" style="position:absolute;margin-left:0;margin-top:0;width:8in;height:1in;z-index:25165312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36AE1693" w14:textId="77777777" w:rsidR="00151D1D" w:rsidRDefault="002F3806">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151D1D">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2D8C1F3E" wp14:editId="73974AD0">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05837" w14:textId="77777777" w:rsidR="00151D1D" w:rsidRDefault="00151D1D">
                                <w:pPr>
                                  <w:pStyle w:val="NoSpacing"/>
                                  <w:jc w:val="right"/>
                                  <w:rPr>
                                    <w:color w:val="595959" w:themeColor="text1" w:themeTint="A6"/>
                                    <w:sz w:val="20"/>
                                    <w:szCs w:val="20"/>
                                  </w:rPr>
                                </w:pPr>
                                <w:r>
                                  <w:rPr>
                                    <w:color w:val="A5300F" w:themeColor="accent1"/>
                                    <w:sz w:val="28"/>
                                    <w:szCs w:val="28"/>
                                  </w:rPr>
                                  <w:t>March 2019</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C1F3E" id="Text Box 153" o:spid="_x0000_s1027" type="#_x0000_t202" style="position:absolute;margin-left:0;margin-top:0;width:8in;height:79.5pt;z-index:2516572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03B05837" w14:textId="77777777" w:rsidR="00151D1D" w:rsidRDefault="00151D1D">
                          <w:pPr>
                            <w:pStyle w:val="NoSpacing"/>
                            <w:jc w:val="right"/>
                            <w:rPr>
                              <w:color w:val="595959" w:themeColor="text1" w:themeTint="A6"/>
                              <w:sz w:val="20"/>
                              <w:szCs w:val="20"/>
                            </w:rPr>
                          </w:pPr>
                          <w:r>
                            <w:rPr>
                              <w:color w:val="A5300F" w:themeColor="accent1"/>
                              <w:sz w:val="28"/>
                              <w:szCs w:val="28"/>
                            </w:rPr>
                            <w:t>March 2019</w:t>
                          </w:r>
                        </w:p>
                      </w:txbxContent>
                    </v:textbox>
                    <w10:wrap type="square" anchorx="page" anchory="page"/>
                  </v:shape>
                </w:pict>
              </mc:Fallback>
            </mc:AlternateContent>
          </w:r>
        </w:p>
        <w:p w14:paraId="74DCC684" w14:textId="77777777" w:rsidR="00D16848" w:rsidRDefault="00D16848">
          <w:r>
            <w:rPr>
              <w:noProof/>
            </w:rPr>
            <mc:AlternateContent>
              <mc:Choice Requires="wps">
                <w:drawing>
                  <wp:anchor distT="0" distB="0" distL="114300" distR="114300" simplePos="0" relativeHeight="251665408" behindDoc="0" locked="0" layoutInCell="1" allowOverlap="1" wp14:anchorId="0E1DFDBC" wp14:editId="2F9BC5A1">
                    <wp:simplePos x="0" y="0"/>
                    <wp:positionH relativeFrom="page">
                      <wp:posOffset>219075</wp:posOffset>
                    </wp:positionH>
                    <wp:positionV relativeFrom="page">
                      <wp:posOffset>1943100</wp:posOffset>
                    </wp:positionV>
                    <wp:extent cx="7277100" cy="5142865"/>
                    <wp:effectExtent l="0" t="0" r="0" b="635"/>
                    <wp:wrapSquare wrapText="bothSides"/>
                    <wp:docPr id="154" name="Text Box 154"/>
                    <wp:cNvGraphicFramePr/>
                    <a:graphic xmlns:a="http://schemas.openxmlformats.org/drawingml/2006/main">
                      <a:graphicData uri="http://schemas.microsoft.com/office/word/2010/wordprocessingShape">
                        <wps:wsp>
                          <wps:cNvSpPr txBox="1"/>
                          <wps:spPr>
                            <a:xfrm>
                              <a:off x="0" y="0"/>
                              <a:ext cx="7277100" cy="5142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0F2C3" w14:textId="77777777" w:rsidR="00151D1D" w:rsidRDefault="00935670">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1D1D" w:rsidRPr="005759D1">
                                      <w:rPr>
                                        <w:caps/>
                                        <w:color w:val="A5300F" w:themeColor="accent1"/>
                                        <w:sz w:val="64"/>
                                        <w:szCs w:val="64"/>
                                      </w:rPr>
                                      <w:t>Queensland Government submission to the fair work commission</w:t>
                                    </w:r>
                                  </w:sdtContent>
                                </w:sdt>
                              </w:p>
                              <w:sdt>
                                <w:sdtPr>
                                  <w:rPr>
                                    <w:color w:val="A5300F"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6DF03E" w14:textId="77777777" w:rsidR="00151D1D" w:rsidRPr="00A87EC7" w:rsidRDefault="00151D1D">
                                    <w:pPr>
                                      <w:jc w:val="right"/>
                                      <w:rPr>
                                        <w:smallCaps/>
                                        <w:color w:val="404040" w:themeColor="text1" w:themeTint="BF"/>
                                        <w:sz w:val="36"/>
                                        <w:szCs w:val="36"/>
                                      </w:rPr>
                                    </w:pPr>
                                    <w:r w:rsidRPr="00194C98">
                                      <w:rPr>
                                        <w:color w:val="A5300F" w:themeColor="accent1"/>
                                        <w:sz w:val="64"/>
                                        <w:szCs w:val="64"/>
                                      </w:rPr>
                                      <w:t>Annual Wage Review 201</w:t>
                                    </w:r>
                                    <w:r>
                                      <w:rPr>
                                        <w:color w:val="A5300F" w:themeColor="accent1"/>
                                        <w:sz w:val="64"/>
                                        <w:szCs w:val="64"/>
                                      </w:rPr>
                                      <w:t>8–19</w:t>
                                    </w:r>
                                  </w:p>
                                </w:sdtContent>
                              </w:sdt>
                            </w:txbxContent>
                          </wps:txbx>
                          <wps:bodyPr rot="0" spcFirstLastPara="0" vertOverflow="overflow" horzOverflow="overflow" vert="horz" wrap="square" lIns="8640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DFDBC" id="Text Box 154" o:spid="_x0000_s1028" type="#_x0000_t202" style="position:absolute;margin-left:17.25pt;margin-top:153pt;width:573pt;height:40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" filled="f" stroked="f" strokeweight=".5pt">
                    <v:textbox inset="24mm,0,54pt,0">
                      <w:txbxContent>
                        <w:p w14:paraId="4D00F2C3" w14:textId="77777777" w:rsidR="00151D1D" w:rsidRDefault="002F3806">
                          <w:pPr>
                            <w:jc w:val="right"/>
                            <w:rPr>
                              <w:color w:val="A5300F" w:themeColor="accent1"/>
                              <w:sz w:val="64"/>
                              <w:szCs w:val="64"/>
                            </w:rPr>
                          </w:pPr>
                          <w:sdt>
                            <w:sdtPr>
                              <w:rPr>
                                <w:caps/>
                                <w:color w:val="A5300F"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51D1D" w:rsidRPr="005759D1">
                                <w:rPr>
                                  <w:caps/>
                                  <w:color w:val="A5300F" w:themeColor="accent1"/>
                                  <w:sz w:val="64"/>
                                  <w:szCs w:val="64"/>
                                </w:rPr>
                                <w:t>Queensland Government submission to the fair work commission</w:t>
                              </w:r>
                            </w:sdtContent>
                          </w:sdt>
                        </w:p>
                        <w:sdt>
                          <w:sdtPr>
                            <w:rPr>
                              <w:color w:val="A5300F" w:themeColor="accent1"/>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86DF03E" w14:textId="77777777" w:rsidR="00151D1D" w:rsidRPr="00A87EC7" w:rsidRDefault="00151D1D">
                              <w:pPr>
                                <w:jc w:val="right"/>
                                <w:rPr>
                                  <w:smallCaps/>
                                  <w:color w:val="404040" w:themeColor="text1" w:themeTint="BF"/>
                                  <w:sz w:val="36"/>
                                  <w:szCs w:val="36"/>
                                </w:rPr>
                              </w:pPr>
                              <w:r w:rsidRPr="00194C98">
                                <w:rPr>
                                  <w:color w:val="A5300F" w:themeColor="accent1"/>
                                  <w:sz w:val="64"/>
                                  <w:szCs w:val="64"/>
                                </w:rPr>
                                <w:t>Annual Wage Review 201</w:t>
                              </w:r>
                              <w:r>
                                <w:rPr>
                                  <w:color w:val="A5300F" w:themeColor="accent1"/>
                                  <w:sz w:val="64"/>
                                  <w:szCs w:val="64"/>
                                </w:rPr>
                                <w:t>8–19</w:t>
                              </w:r>
                            </w:p>
                          </w:sdtContent>
                        </w:sdt>
                      </w:txbxContent>
                    </v:textbox>
                    <w10:wrap type="square" anchorx="page" anchory="page"/>
                  </v:shape>
                </w:pict>
              </mc:Fallback>
            </mc:AlternateContent>
          </w:r>
          <w:r>
            <w:br w:type="page"/>
          </w:r>
        </w:p>
      </w:sdtContent>
    </w:sdt>
    <w:p w14:paraId="54B8B28F" w14:textId="77777777" w:rsidR="00675280" w:rsidRDefault="00675280" w:rsidP="00D16848"/>
    <w:sdt>
      <w:sdtPr>
        <w:rPr>
          <w:rFonts w:ascii="Arial" w:eastAsia="Times New Roman" w:hAnsi="Arial" w:cs="Times New Roman"/>
          <w:color w:val="auto"/>
          <w:sz w:val="24"/>
          <w:szCs w:val="24"/>
          <w:lang w:val="en-AU" w:eastAsia="en-AU"/>
        </w:rPr>
        <w:id w:val="93901173"/>
        <w:docPartObj>
          <w:docPartGallery w:val="Table of Contents"/>
          <w:docPartUnique/>
        </w:docPartObj>
      </w:sdtPr>
      <w:sdtEndPr>
        <w:rPr>
          <w:b/>
        </w:rPr>
      </w:sdtEndPr>
      <w:sdtContent>
        <w:p w14:paraId="4CA6F47C" w14:textId="77777777" w:rsidR="00BC39AA" w:rsidRPr="000350D9" w:rsidRDefault="00BC39AA">
          <w:pPr>
            <w:pStyle w:val="TOCHeading"/>
            <w:rPr>
              <w:rFonts w:ascii="Arial" w:hAnsi="Arial" w:cs="Arial"/>
            </w:rPr>
          </w:pPr>
          <w:r w:rsidRPr="000E59BB">
            <w:rPr>
              <w:rFonts w:ascii="Arial" w:hAnsi="Arial" w:cs="Arial"/>
            </w:rPr>
            <w:t>Contents</w:t>
          </w:r>
        </w:p>
        <w:p w14:paraId="3BFE1F66" w14:textId="77777777" w:rsidR="00BC39AA" w:rsidRPr="002710D6" w:rsidRDefault="00BC39AA" w:rsidP="00BC39AA">
          <w:pPr>
            <w:rPr>
              <w:rFonts w:ascii="Arial" w:hAnsi="Arial" w:cs="Arial"/>
              <w:lang w:val="en-US" w:eastAsia="en-US"/>
            </w:rPr>
          </w:pPr>
        </w:p>
        <w:p w14:paraId="77093C86" w14:textId="1428CAA1" w:rsidR="007266BC" w:rsidRPr="000350D9" w:rsidRDefault="00BC39AA">
          <w:pPr>
            <w:pStyle w:val="TOC1"/>
            <w:tabs>
              <w:tab w:val="right" w:leader="dot" w:pos="9152"/>
            </w:tabs>
            <w:rPr>
              <w:rFonts w:ascii="Arial" w:hAnsi="Arial"/>
              <w:sz w:val="24"/>
            </w:rPr>
          </w:pPr>
          <w:r w:rsidRPr="000350D9">
            <w:rPr>
              <w:rFonts w:ascii="Arial" w:hAnsi="Arial"/>
              <w:sz w:val="24"/>
            </w:rPr>
            <w:fldChar w:fldCharType="begin"/>
          </w:r>
          <w:r w:rsidRPr="000350D9">
            <w:rPr>
              <w:rFonts w:ascii="Arial" w:hAnsi="Arial"/>
              <w:sz w:val="24"/>
            </w:rPr>
            <w:instrText xml:space="preserve"> TOC \o "1-3" \h \z \u </w:instrText>
          </w:r>
          <w:r w:rsidRPr="000350D9">
            <w:rPr>
              <w:rFonts w:ascii="Arial" w:hAnsi="Arial"/>
              <w:sz w:val="24"/>
            </w:rPr>
            <w:fldChar w:fldCharType="separate"/>
          </w:r>
          <w:hyperlink w:anchor="_Toc2688642" w:history="1">
            <w:r w:rsidR="007266BC" w:rsidRPr="000350D9">
              <w:rPr>
                <w:rStyle w:val="Hyperlink"/>
                <w:rFonts w:ascii="Arial" w:hAnsi="Arial"/>
                <w:sz w:val="24"/>
              </w:rPr>
              <w:t>Introduction</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_Toc2688642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2</w:t>
            </w:r>
            <w:r w:rsidR="007266BC" w:rsidRPr="000350D9">
              <w:rPr>
                <w:rFonts w:ascii="Arial" w:hAnsi="Arial"/>
                <w:webHidden/>
                <w:sz w:val="24"/>
              </w:rPr>
              <w:fldChar w:fldCharType="end"/>
            </w:r>
          </w:hyperlink>
        </w:p>
        <w:p w14:paraId="3863E71A" w14:textId="47505E07" w:rsidR="007266BC" w:rsidRPr="000350D9" w:rsidRDefault="00935670">
          <w:pPr>
            <w:pStyle w:val="TOC1"/>
            <w:tabs>
              <w:tab w:val="right" w:leader="dot" w:pos="9152"/>
            </w:tabs>
            <w:rPr>
              <w:rFonts w:ascii="Arial" w:hAnsi="Arial"/>
              <w:sz w:val="24"/>
            </w:rPr>
          </w:pPr>
          <w:hyperlink w:anchor="_Toc2688643" w:history="1">
            <w:r w:rsidR="007266BC" w:rsidRPr="000350D9">
              <w:rPr>
                <w:rStyle w:val="Hyperlink"/>
                <w:rFonts w:ascii="Arial" w:hAnsi="Arial"/>
                <w:sz w:val="24"/>
              </w:rPr>
              <w:t>Legislative parameters</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_Toc2688643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3</w:t>
            </w:r>
            <w:r w:rsidR="007266BC" w:rsidRPr="000350D9">
              <w:rPr>
                <w:rFonts w:ascii="Arial" w:hAnsi="Arial"/>
                <w:webHidden/>
                <w:sz w:val="24"/>
              </w:rPr>
              <w:fldChar w:fldCharType="end"/>
            </w:r>
          </w:hyperlink>
        </w:p>
        <w:p w14:paraId="6BA5A530" w14:textId="17ADF15E" w:rsidR="007266BC" w:rsidRPr="000350D9" w:rsidRDefault="00935670">
          <w:pPr>
            <w:pStyle w:val="TOC3"/>
            <w:tabs>
              <w:tab w:val="right" w:leader="dot" w:pos="9152"/>
            </w:tabs>
            <w:rPr>
              <w:rFonts w:ascii="Arial" w:eastAsiaTheme="minorEastAsia" w:hAnsi="Arial"/>
            </w:rPr>
          </w:pPr>
          <w:hyperlink w:anchor="_Toc2688644" w:history="1">
            <w:r w:rsidR="007266BC" w:rsidRPr="000350D9">
              <w:rPr>
                <w:rStyle w:val="Hyperlink"/>
                <w:rFonts w:ascii="Arial" w:eastAsiaTheme="majorEastAsia" w:hAnsi="Arial"/>
              </w:rPr>
              <w:t>Number of Queensland employees subject to the NMW and award rates</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_Toc2688644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3</w:t>
            </w:r>
            <w:r w:rsidR="007266BC" w:rsidRPr="000350D9">
              <w:rPr>
                <w:rFonts w:ascii="Arial" w:hAnsi="Arial"/>
                <w:webHidden/>
              </w:rPr>
              <w:fldChar w:fldCharType="end"/>
            </w:r>
          </w:hyperlink>
        </w:p>
        <w:p w14:paraId="4CBF0CFC" w14:textId="160A803F" w:rsidR="007266BC" w:rsidRPr="000350D9" w:rsidRDefault="00935670">
          <w:pPr>
            <w:pStyle w:val="TOC3"/>
            <w:tabs>
              <w:tab w:val="right" w:leader="dot" w:pos="9152"/>
            </w:tabs>
            <w:rPr>
              <w:rFonts w:ascii="Arial" w:eastAsiaTheme="minorEastAsia" w:hAnsi="Arial"/>
            </w:rPr>
          </w:pPr>
          <w:hyperlink w:anchor="_Toc2688645" w:history="1">
            <w:r w:rsidR="007266BC" w:rsidRPr="000350D9">
              <w:rPr>
                <w:rStyle w:val="Hyperlink"/>
                <w:rFonts w:ascii="Arial" w:eastAsiaTheme="majorEastAsia" w:hAnsi="Arial"/>
              </w:rPr>
              <w:t>Characteristics of Queensland employees subject to the NMW and award rates</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_Toc2688645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4</w:t>
            </w:r>
            <w:r w:rsidR="007266BC" w:rsidRPr="000350D9">
              <w:rPr>
                <w:rFonts w:ascii="Arial" w:hAnsi="Arial"/>
                <w:webHidden/>
              </w:rPr>
              <w:fldChar w:fldCharType="end"/>
            </w:r>
          </w:hyperlink>
        </w:p>
        <w:p w14:paraId="586204C6" w14:textId="1260DA69" w:rsidR="007266BC" w:rsidRPr="000350D9" w:rsidRDefault="00935670">
          <w:pPr>
            <w:pStyle w:val="TOC1"/>
            <w:tabs>
              <w:tab w:val="right" w:leader="dot" w:pos="9152"/>
            </w:tabs>
            <w:rPr>
              <w:rFonts w:ascii="Arial" w:hAnsi="Arial"/>
              <w:sz w:val="24"/>
            </w:rPr>
          </w:pPr>
          <w:hyperlink w:anchor="_Toc2688646" w:history="1">
            <w:r w:rsidR="007266BC" w:rsidRPr="000350D9">
              <w:rPr>
                <w:rStyle w:val="Hyperlink"/>
                <w:rFonts w:ascii="Arial" w:hAnsi="Arial"/>
                <w:sz w:val="24"/>
              </w:rPr>
              <w:t>Economic factors</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_Toc2688646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5</w:t>
            </w:r>
            <w:r w:rsidR="007266BC" w:rsidRPr="000350D9">
              <w:rPr>
                <w:rFonts w:ascii="Arial" w:hAnsi="Arial"/>
                <w:webHidden/>
                <w:sz w:val="24"/>
              </w:rPr>
              <w:fldChar w:fldCharType="end"/>
            </w:r>
          </w:hyperlink>
        </w:p>
        <w:p w14:paraId="435E08FB" w14:textId="38997812" w:rsidR="007266BC" w:rsidRPr="000350D9" w:rsidRDefault="00935670">
          <w:pPr>
            <w:pStyle w:val="TOC3"/>
            <w:tabs>
              <w:tab w:val="right" w:leader="dot" w:pos="9152"/>
            </w:tabs>
            <w:rPr>
              <w:rFonts w:ascii="Arial" w:eastAsiaTheme="minorEastAsia" w:hAnsi="Arial"/>
            </w:rPr>
          </w:pPr>
          <w:hyperlink w:anchor="_Toc2688647" w:history="1">
            <w:r w:rsidR="007266BC" w:rsidRPr="000350D9">
              <w:rPr>
                <w:rStyle w:val="Hyperlink"/>
                <w:rFonts w:ascii="Arial" w:eastAsiaTheme="majorEastAsia" w:hAnsi="Arial"/>
              </w:rPr>
              <w:t>The Queensland economy</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_Toc2688647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8</w:t>
            </w:r>
            <w:r w:rsidR="007266BC" w:rsidRPr="000350D9">
              <w:rPr>
                <w:rFonts w:ascii="Arial" w:hAnsi="Arial"/>
                <w:webHidden/>
              </w:rPr>
              <w:fldChar w:fldCharType="end"/>
            </w:r>
          </w:hyperlink>
        </w:p>
        <w:p w14:paraId="098B51FD" w14:textId="683AAB5D" w:rsidR="007266BC" w:rsidRPr="000350D9" w:rsidRDefault="00935670">
          <w:pPr>
            <w:pStyle w:val="TOC3"/>
            <w:tabs>
              <w:tab w:val="right" w:leader="dot" w:pos="9152"/>
            </w:tabs>
            <w:rPr>
              <w:rFonts w:ascii="Arial" w:eastAsiaTheme="minorEastAsia" w:hAnsi="Arial"/>
            </w:rPr>
          </w:pPr>
          <w:hyperlink w:anchor="_Toc2688648" w:history="1">
            <w:r w:rsidR="007266BC" w:rsidRPr="000350D9">
              <w:rPr>
                <w:rStyle w:val="Hyperlink"/>
                <w:rFonts w:ascii="Arial" w:eastAsiaTheme="majorEastAsia" w:hAnsi="Arial"/>
              </w:rPr>
              <w:t>Risks to the outlook</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_Toc2688648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9</w:t>
            </w:r>
            <w:r w:rsidR="007266BC" w:rsidRPr="000350D9">
              <w:rPr>
                <w:rFonts w:ascii="Arial" w:hAnsi="Arial"/>
                <w:webHidden/>
              </w:rPr>
              <w:fldChar w:fldCharType="end"/>
            </w:r>
          </w:hyperlink>
        </w:p>
        <w:p w14:paraId="40D5115B" w14:textId="2FC7DC5B" w:rsidR="007266BC" w:rsidRPr="000350D9" w:rsidRDefault="00935670">
          <w:pPr>
            <w:pStyle w:val="TOC3"/>
            <w:tabs>
              <w:tab w:val="right" w:leader="dot" w:pos="9152"/>
            </w:tabs>
            <w:rPr>
              <w:rFonts w:ascii="Arial" w:eastAsiaTheme="minorEastAsia" w:hAnsi="Arial"/>
            </w:rPr>
          </w:pPr>
          <w:hyperlink w:anchor="_Toc2688649" w:history="1">
            <w:r w:rsidR="007266BC" w:rsidRPr="000350D9">
              <w:rPr>
                <w:rStyle w:val="Hyperlink"/>
                <w:rFonts w:ascii="Arial" w:eastAsiaTheme="majorEastAsia" w:hAnsi="Arial"/>
              </w:rPr>
              <w:t>Economic implications of low wage growth</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_Toc2688649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10</w:t>
            </w:r>
            <w:r w:rsidR="007266BC" w:rsidRPr="000350D9">
              <w:rPr>
                <w:rFonts w:ascii="Arial" w:hAnsi="Arial"/>
                <w:webHidden/>
              </w:rPr>
              <w:fldChar w:fldCharType="end"/>
            </w:r>
          </w:hyperlink>
        </w:p>
        <w:p w14:paraId="49079D9C" w14:textId="6F5743A2" w:rsidR="007266BC" w:rsidRPr="000350D9" w:rsidRDefault="00935670">
          <w:pPr>
            <w:pStyle w:val="TOC3"/>
            <w:tabs>
              <w:tab w:val="right" w:leader="dot" w:pos="9152"/>
            </w:tabs>
            <w:rPr>
              <w:rFonts w:ascii="Arial" w:eastAsiaTheme="minorEastAsia" w:hAnsi="Arial"/>
            </w:rPr>
          </w:pPr>
          <w:hyperlink w:anchor="_Toc2688650" w:history="1">
            <w:r w:rsidR="007266BC" w:rsidRPr="000350D9">
              <w:rPr>
                <w:rStyle w:val="Hyperlink"/>
                <w:rFonts w:ascii="Arial" w:eastAsiaTheme="majorEastAsia" w:hAnsi="Arial"/>
              </w:rPr>
              <w:t>The employment impact of increases to minimum wages</w:t>
            </w:r>
            <w:r w:rsidR="007266BC" w:rsidRPr="000350D9">
              <w:rPr>
                <w:rFonts w:ascii="Arial" w:hAnsi="Arial"/>
                <w:webHidden/>
              </w:rPr>
              <w:tab/>
            </w:r>
            <w:r w:rsidR="007266BC" w:rsidRPr="000350D9">
              <w:rPr>
                <w:rFonts w:ascii="Arial" w:hAnsi="Arial"/>
                <w:webHidden/>
              </w:rPr>
              <w:fldChar w:fldCharType="begin"/>
            </w:r>
            <w:r w:rsidR="007266BC" w:rsidRPr="000350D9">
              <w:rPr>
                <w:rFonts w:ascii="Arial" w:hAnsi="Arial"/>
                <w:webHidden/>
              </w:rPr>
              <w:instrText xml:space="preserve"> PAGEREF _Toc2688650 \h </w:instrText>
            </w:r>
            <w:r w:rsidR="007266BC" w:rsidRPr="000350D9">
              <w:rPr>
                <w:rFonts w:ascii="Arial" w:hAnsi="Arial"/>
                <w:webHidden/>
              </w:rPr>
            </w:r>
            <w:r w:rsidR="007266BC" w:rsidRPr="000350D9">
              <w:rPr>
                <w:rFonts w:ascii="Arial" w:hAnsi="Arial"/>
                <w:webHidden/>
              </w:rPr>
              <w:fldChar w:fldCharType="separate"/>
            </w:r>
            <w:r w:rsidR="007266BC" w:rsidRPr="000350D9">
              <w:rPr>
                <w:rFonts w:ascii="Arial" w:hAnsi="Arial"/>
                <w:webHidden/>
              </w:rPr>
              <w:t>11</w:t>
            </w:r>
            <w:r w:rsidR="007266BC" w:rsidRPr="000350D9">
              <w:rPr>
                <w:rFonts w:ascii="Arial" w:hAnsi="Arial"/>
                <w:webHidden/>
              </w:rPr>
              <w:fldChar w:fldCharType="end"/>
            </w:r>
          </w:hyperlink>
        </w:p>
        <w:p w14:paraId="44364370" w14:textId="4CDCC3EF" w:rsidR="007266BC" w:rsidRPr="000350D9" w:rsidRDefault="00935670">
          <w:pPr>
            <w:pStyle w:val="TOC1"/>
            <w:tabs>
              <w:tab w:val="right" w:leader="dot" w:pos="9152"/>
            </w:tabs>
            <w:rPr>
              <w:rFonts w:ascii="Arial" w:hAnsi="Arial"/>
              <w:sz w:val="24"/>
            </w:rPr>
          </w:pPr>
          <w:hyperlink w:anchor="_Toc2688651" w:history="1">
            <w:r w:rsidR="007266BC" w:rsidRPr="000350D9">
              <w:rPr>
                <w:rStyle w:val="Hyperlink"/>
                <w:rFonts w:ascii="Arial" w:hAnsi="Arial"/>
                <w:sz w:val="24"/>
              </w:rPr>
              <w:t>Social factors – The importance of fair wages</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_Toc2688651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12</w:t>
            </w:r>
            <w:r w:rsidR="007266BC" w:rsidRPr="000350D9">
              <w:rPr>
                <w:rFonts w:ascii="Arial" w:hAnsi="Arial"/>
                <w:webHidden/>
                <w:sz w:val="24"/>
              </w:rPr>
              <w:fldChar w:fldCharType="end"/>
            </w:r>
          </w:hyperlink>
        </w:p>
        <w:p w14:paraId="70C5EA63" w14:textId="7441F9ED" w:rsidR="007266BC" w:rsidRPr="000350D9" w:rsidRDefault="00935670">
          <w:pPr>
            <w:pStyle w:val="TOC1"/>
            <w:tabs>
              <w:tab w:val="right" w:leader="dot" w:pos="9152"/>
            </w:tabs>
            <w:rPr>
              <w:rFonts w:ascii="Arial" w:hAnsi="Arial"/>
              <w:sz w:val="24"/>
            </w:rPr>
          </w:pPr>
          <w:hyperlink w:anchor="_Toc2688652" w:history="1">
            <w:r w:rsidR="007266BC" w:rsidRPr="000350D9">
              <w:rPr>
                <w:rStyle w:val="Hyperlink"/>
                <w:rFonts w:ascii="Arial" w:hAnsi="Arial"/>
                <w:sz w:val="24"/>
              </w:rPr>
              <w:t>Equal remuneration</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_Toc2688652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15</w:t>
            </w:r>
            <w:r w:rsidR="007266BC" w:rsidRPr="000350D9">
              <w:rPr>
                <w:rFonts w:ascii="Arial" w:hAnsi="Arial"/>
                <w:webHidden/>
                <w:sz w:val="24"/>
              </w:rPr>
              <w:fldChar w:fldCharType="end"/>
            </w:r>
          </w:hyperlink>
        </w:p>
        <w:p w14:paraId="73BDDBD6" w14:textId="7B748FB0" w:rsidR="007266BC" w:rsidRPr="000350D9" w:rsidRDefault="00935670">
          <w:pPr>
            <w:pStyle w:val="TOC1"/>
            <w:tabs>
              <w:tab w:val="right" w:leader="dot" w:pos="9152"/>
            </w:tabs>
            <w:rPr>
              <w:rFonts w:ascii="Arial" w:hAnsi="Arial"/>
              <w:sz w:val="24"/>
            </w:rPr>
          </w:pPr>
          <w:hyperlink w:anchor="_Toc2688653" w:history="1">
            <w:r w:rsidR="007266BC" w:rsidRPr="000350D9">
              <w:rPr>
                <w:rStyle w:val="Hyperlink"/>
                <w:rFonts w:ascii="Arial" w:hAnsi="Arial"/>
                <w:sz w:val="24"/>
              </w:rPr>
              <w:t>Conclusion</w:t>
            </w:r>
            <w:r w:rsidR="007266BC" w:rsidRPr="000350D9">
              <w:rPr>
                <w:rFonts w:ascii="Arial" w:hAnsi="Arial"/>
                <w:webHidden/>
                <w:sz w:val="24"/>
              </w:rPr>
              <w:tab/>
            </w:r>
            <w:r w:rsidR="007266BC" w:rsidRPr="000350D9">
              <w:rPr>
                <w:rFonts w:ascii="Arial" w:hAnsi="Arial"/>
                <w:webHidden/>
                <w:sz w:val="24"/>
              </w:rPr>
              <w:fldChar w:fldCharType="begin"/>
            </w:r>
            <w:r w:rsidR="007266BC" w:rsidRPr="000350D9">
              <w:rPr>
                <w:rFonts w:ascii="Arial" w:hAnsi="Arial"/>
                <w:webHidden/>
                <w:sz w:val="24"/>
              </w:rPr>
              <w:instrText xml:space="preserve"> PAGEREF _Toc2688653 \h </w:instrText>
            </w:r>
            <w:r w:rsidR="007266BC" w:rsidRPr="000350D9">
              <w:rPr>
                <w:rFonts w:ascii="Arial" w:hAnsi="Arial"/>
                <w:webHidden/>
                <w:sz w:val="24"/>
              </w:rPr>
            </w:r>
            <w:r w:rsidR="007266BC" w:rsidRPr="000350D9">
              <w:rPr>
                <w:rFonts w:ascii="Arial" w:hAnsi="Arial"/>
                <w:webHidden/>
                <w:sz w:val="24"/>
              </w:rPr>
              <w:fldChar w:fldCharType="separate"/>
            </w:r>
            <w:r w:rsidR="007266BC" w:rsidRPr="000350D9">
              <w:rPr>
                <w:rFonts w:ascii="Arial" w:hAnsi="Arial"/>
                <w:webHidden/>
                <w:sz w:val="24"/>
              </w:rPr>
              <w:t>16</w:t>
            </w:r>
            <w:r w:rsidR="007266BC" w:rsidRPr="000350D9">
              <w:rPr>
                <w:rFonts w:ascii="Arial" w:hAnsi="Arial"/>
                <w:webHidden/>
                <w:sz w:val="24"/>
              </w:rPr>
              <w:fldChar w:fldCharType="end"/>
            </w:r>
          </w:hyperlink>
        </w:p>
        <w:p w14:paraId="752F8F4B" w14:textId="15E115AD" w:rsidR="00BC39AA" w:rsidRPr="000350D9" w:rsidRDefault="00BC39AA">
          <w:pPr>
            <w:rPr>
              <w:rFonts w:ascii="Arial" w:hAnsi="Arial"/>
            </w:rPr>
          </w:pPr>
          <w:r w:rsidRPr="000350D9">
            <w:rPr>
              <w:rFonts w:ascii="Arial" w:hAnsi="Arial"/>
              <w:b/>
            </w:rPr>
            <w:fldChar w:fldCharType="end"/>
          </w:r>
        </w:p>
      </w:sdtContent>
    </w:sdt>
    <w:p w14:paraId="3C99297B" w14:textId="77777777" w:rsidR="00D16848" w:rsidRPr="000350D9" w:rsidRDefault="00D16848">
      <w:pPr>
        <w:rPr>
          <w:rFonts w:ascii="Arial" w:hAnsi="Arial"/>
        </w:rPr>
      </w:pPr>
    </w:p>
    <w:p w14:paraId="5AD929A0" w14:textId="77777777" w:rsidR="00D16848" w:rsidRPr="000350D9" w:rsidRDefault="00D16848">
      <w:pPr>
        <w:rPr>
          <w:rFonts w:ascii="Arial" w:hAnsi="Arial"/>
        </w:rPr>
      </w:pPr>
    </w:p>
    <w:p w14:paraId="581EC613" w14:textId="77777777" w:rsidR="00D16848" w:rsidRDefault="00D16848"/>
    <w:p w14:paraId="2FA1B6C6" w14:textId="77777777" w:rsidR="00D16848" w:rsidRDefault="00D16848"/>
    <w:p w14:paraId="69ED84AC" w14:textId="77777777" w:rsidR="00D16848" w:rsidRDefault="00D16848"/>
    <w:p w14:paraId="5807A3E8" w14:textId="77777777" w:rsidR="00D16848" w:rsidRDefault="00D16848" w:rsidP="00D16848"/>
    <w:p w14:paraId="3827EAED" w14:textId="77777777" w:rsidR="00D16848" w:rsidRDefault="00D16848" w:rsidP="00D16848"/>
    <w:p w14:paraId="6E6C524C" w14:textId="77777777" w:rsidR="00D16848" w:rsidRDefault="00D16848" w:rsidP="00D16848">
      <w:r>
        <w:br w:type="page"/>
      </w:r>
    </w:p>
    <w:p w14:paraId="4C9E2365" w14:textId="77777777" w:rsidR="00D16848" w:rsidRDefault="00D16848" w:rsidP="00675280">
      <w:pPr>
        <w:pStyle w:val="Heading1"/>
        <w:rPr>
          <w:rFonts w:ascii="Arial" w:hAnsi="Arial" w:cs="Arial"/>
        </w:rPr>
      </w:pPr>
      <w:bookmarkStart w:id="1" w:name="_Toc442256134"/>
      <w:bookmarkStart w:id="2" w:name="_Toc2688642"/>
      <w:r w:rsidRPr="00272590">
        <w:rPr>
          <w:rFonts w:ascii="Arial" w:hAnsi="Arial" w:cs="Arial"/>
        </w:rPr>
        <w:t>Introduction</w:t>
      </w:r>
      <w:bookmarkEnd w:id="1"/>
      <w:bookmarkEnd w:id="2"/>
      <w:r w:rsidRPr="00272590">
        <w:rPr>
          <w:rFonts w:ascii="Arial" w:hAnsi="Arial" w:cs="Arial"/>
        </w:rPr>
        <w:t xml:space="preserve"> </w:t>
      </w:r>
    </w:p>
    <w:p w14:paraId="5E93E28F" w14:textId="120A82E8" w:rsidR="00BA3E2A" w:rsidRDefault="00D16848" w:rsidP="00BA3E2A">
      <w:pPr>
        <w:spacing w:before="240" w:after="240" w:line="360" w:lineRule="auto"/>
        <w:jc w:val="both"/>
        <w:rPr>
          <w:rFonts w:ascii="Arial" w:hAnsi="Arial" w:cs="Arial"/>
          <w:sz w:val="22"/>
          <w:szCs w:val="22"/>
        </w:rPr>
      </w:pPr>
      <w:r w:rsidRPr="006173AE">
        <w:rPr>
          <w:rFonts w:ascii="Arial" w:hAnsi="Arial" w:cs="Arial"/>
          <w:sz w:val="22"/>
          <w:szCs w:val="22"/>
        </w:rPr>
        <w:t xml:space="preserve">The </w:t>
      </w:r>
      <w:r w:rsidR="00656267" w:rsidRPr="006173AE">
        <w:rPr>
          <w:rFonts w:ascii="Arial" w:hAnsi="Arial" w:cs="Arial"/>
          <w:sz w:val="22"/>
          <w:szCs w:val="22"/>
        </w:rPr>
        <w:t xml:space="preserve">following is a submission by the Queensland Government to the </w:t>
      </w:r>
      <w:r w:rsidR="00BA3E2A" w:rsidRPr="006173AE">
        <w:rPr>
          <w:rFonts w:ascii="Arial" w:hAnsi="Arial" w:cs="Arial"/>
          <w:sz w:val="22"/>
          <w:szCs w:val="22"/>
        </w:rPr>
        <w:t>201</w:t>
      </w:r>
      <w:r w:rsidR="00BA3E2A">
        <w:rPr>
          <w:rFonts w:ascii="Arial" w:hAnsi="Arial" w:cs="Arial"/>
          <w:sz w:val="22"/>
          <w:szCs w:val="22"/>
        </w:rPr>
        <w:t>8</w:t>
      </w:r>
      <w:r w:rsidR="00167B46">
        <w:rPr>
          <w:rFonts w:ascii="Arial" w:hAnsi="Arial" w:cs="Arial"/>
          <w:sz w:val="22"/>
          <w:szCs w:val="22"/>
        </w:rPr>
        <w:t>–</w:t>
      </w:r>
      <w:r w:rsidR="00BA3E2A" w:rsidRPr="006173AE">
        <w:rPr>
          <w:rFonts w:ascii="Arial" w:hAnsi="Arial" w:cs="Arial"/>
          <w:sz w:val="22"/>
          <w:szCs w:val="22"/>
        </w:rPr>
        <w:t>1</w:t>
      </w:r>
      <w:r w:rsidR="00BA3E2A">
        <w:rPr>
          <w:rFonts w:ascii="Arial" w:hAnsi="Arial" w:cs="Arial"/>
          <w:sz w:val="22"/>
          <w:szCs w:val="22"/>
        </w:rPr>
        <w:t>9</w:t>
      </w:r>
      <w:r w:rsidR="00BA3E2A" w:rsidRPr="006173AE">
        <w:rPr>
          <w:rFonts w:ascii="Arial" w:hAnsi="Arial" w:cs="Arial"/>
          <w:sz w:val="22"/>
          <w:szCs w:val="22"/>
        </w:rPr>
        <w:t xml:space="preserve"> </w:t>
      </w:r>
      <w:r w:rsidR="00AE6874" w:rsidRPr="006173AE">
        <w:rPr>
          <w:rFonts w:ascii="Arial" w:hAnsi="Arial" w:cs="Arial"/>
          <w:sz w:val="22"/>
          <w:szCs w:val="22"/>
        </w:rPr>
        <w:t>A</w:t>
      </w:r>
      <w:r w:rsidR="00656267" w:rsidRPr="006173AE">
        <w:rPr>
          <w:rFonts w:ascii="Arial" w:hAnsi="Arial" w:cs="Arial"/>
          <w:sz w:val="22"/>
          <w:szCs w:val="22"/>
        </w:rPr>
        <w:t xml:space="preserve">nnual </w:t>
      </w:r>
      <w:r w:rsidR="00AE6874" w:rsidRPr="006173AE">
        <w:rPr>
          <w:rFonts w:ascii="Arial" w:hAnsi="Arial" w:cs="Arial"/>
          <w:sz w:val="22"/>
          <w:szCs w:val="22"/>
        </w:rPr>
        <w:t>W</w:t>
      </w:r>
      <w:r w:rsidR="00656267" w:rsidRPr="006173AE">
        <w:rPr>
          <w:rFonts w:ascii="Arial" w:hAnsi="Arial" w:cs="Arial"/>
          <w:sz w:val="22"/>
          <w:szCs w:val="22"/>
        </w:rPr>
        <w:t xml:space="preserve">age </w:t>
      </w:r>
      <w:r w:rsidR="00AE6874" w:rsidRPr="006173AE">
        <w:rPr>
          <w:rFonts w:ascii="Arial" w:hAnsi="Arial" w:cs="Arial"/>
          <w:sz w:val="22"/>
          <w:szCs w:val="22"/>
        </w:rPr>
        <w:t>R</w:t>
      </w:r>
      <w:r w:rsidR="00656267" w:rsidRPr="006173AE">
        <w:rPr>
          <w:rFonts w:ascii="Arial" w:hAnsi="Arial" w:cs="Arial"/>
          <w:sz w:val="22"/>
          <w:szCs w:val="22"/>
        </w:rPr>
        <w:t xml:space="preserve">eview </w:t>
      </w:r>
      <w:r w:rsidR="00AE6874" w:rsidRPr="006173AE">
        <w:rPr>
          <w:rFonts w:ascii="Arial" w:hAnsi="Arial" w:cs="Arial"/>
          <w:sz w:val="22"/>
          <w:szCs w:val="22"/>
        </w:rPr>
        <w:t xml:space="preserve">(AWR) </w:t>
      </w:r>
      <w:r w:rsidR="00656267" w:rsidRPr="006173AE">
        <w:rPr>
          <w:rFonts w:ascii="Arial" w:hAnsi="Arial" w:cs="Arial"/>
          <w:sz w:val="22"/>
          <w:szCs w:val="22"/>
        </w:rPr>
        <w:t xml:space="preserve">conducted by the </w:t>
      </w:r>
      <w:r w:rsidR="0033189A" w:rsidRPr="006173AE">
        <w:rPr>
          <w:rFonts w:ascii="Arial" w:hAnsi="Arial" w:cs="Arial"/>
          <w:sz w:val="22"/>
          <w:szCs w:val="22"/>
        </w:rPr>
        <w:t xml:space="preserve">Expert </w:t>
      </w:r>
      <w:r w:rsidR="00656267" w:rsidRPr="006173AE">
        <w:rPr>
          <w:rFonts w:ascii="Arial" w:hAnsi="Arial" w:cs="Arial"/>
          <w:sz w:val="22"/>
          <w:szCs w:val="22"/>
        </w:rPr>
        <w:t>Panel (</w:t>
      </w:r>
      <w:r w:rsidR="00656267" w:rsidRPr="00203623">
        <w:rPr>
          <w:rFonts w:ascii="Arial" w:hAnsi="Arial" w:cs="Arial"/>
          <w:sz w:val="22"/>
          <w:szCs w:val="22"/>
        </w:rPr>
        <w:t>the Panel</w:t>
      </w:r>
      <w:r w:rsidR="00656267" w:rsidRPr="006173AE">
        <w:rPr>
          <w:rFonts w:ascii="Arial" w:hAnsi="Arial" w:cs="Arial"/>
          <w:sz w:val="22"/>
          <w:szCs w:val="22"/>
        </w:rPr>
        <w:t xml:space="preserve">) for the </w:t>
      </w:r>
      <w:r w:rsidRPr="006173AE">
        <w:rPr>
          <w:rFonts w:ascii="Arial" w:hAnsi="Arial" w:cs="Arial"/>
          <w:sz w:val="22"/>
          <w:szCs w:val="22"/>
        </w:rPr>
        <w:t>Fair Work Commission (</w:t>
      </w:r>
      <w:r w:rsidRPr="00203623">
        <w:rPr>
          <w:rFonts w:ascii="Arial" w:hAnsi="Arial" w:cs="Arial"/>
          <w:sz w:val="22"/>
          <w:szCs w:val="22"/>
        </w:rPr>
        <w:t>FWC</w:t>
      </w:r>
      <w:r w:rsidR="00656267" w:rsidRPr="00203623">
        <w:rPr>
          <w:rFonts w:ascii="Arial" w:hAnsi="Arial" w:cs="Arial"/>
          <w:sz w:val="22"/>
          <w:szCs w:val="22"/>
        </w:rPr>
        <w:t>)</w:t>
      </w:r>
      <w:r w:rsidRPr="006173AE">
        <w:rPr>
          <w:rFonts w:ascii="Arial" w:hAnsi="Arial" w:cs="Arial"/>
          <w:sz w:val="22"/>
          <w:szCs w:val="22"/>
        </w:rPr>
        <w:t>.</w:t>
      </w:r>
      <w:r w:rsidR="00656267" w:rsidRPr="006173AE">
        <w:rPr>
          <w:rFonts w:ascii="Arial" w:hAnsi="Arial" w:cs="Arial"/>
          <w:sz w:val="22"/>
          <w:szCs w:val="22"/>
        </w:rPr>
        <w:t xml:space="preserve"> </w:t>
      </w:r>
    </w:p>
    <w:p w14:paraId="5EE61BBB" w14:textId="77777777" w:rsidR="00DD713A" w:rsidRDefault="00BA3E2A" w:rsidP="00B00A90">
      <w:pPr>
        <w:spacing w:before="240" w:after="240" w:line="360" w:lineRule="auto"/>
        <w:jc w:val="both"/>
        <w:rPr>
          <w:rFonts w:ascii="Arial" w:hAnsi="Arial" w:cs="Arial"/>
          <w:sz w:val="22"/>
          <w:szCs w:val="22"/>
        </w:rPr>
      </w:pPr>
      <w:r>
        <w:rPr>
          <w:rFonts w:ascii="Arial" w:hAnsi="Arial" w:cs="Arial"/>
          <w:sz w:val="22"/>
          <w:szCs w:val="22"/>
        </w:rPr>
        <w:t>T</w:t>
      </w:r>
      <w:r w:rsidR="00D30540" w:rsidRPr="006173AE">
        <w:rPr>
          <w:rFonts w:ascii="Arial" w:hAnsi="Arial" w:cs="Arial"/>
          <w:sz w:val="22"/>
          <w:szCs w:val="22"/>
        </w:rPr>
        <w:t xml:space="preserve">he Queensland Government </w:t>
      </w:r>
      <w:r w:rsidR="00776BCD">
        <w:rPr>
          <w:rFonts w:ascii="Arial" w:hAnsi="Arial" w:cs="Arial"/>
          <w:sz w:val="22"/>
          <w:szCs w:val="22"/>
        </w:rPr>
        <w:t xml:space="preserve">advocates for </w:t>
      </w:r>
      <w:r w:rsidR="00D30540" w:rsidRPr="006173AE">
        <w:rPr>
          <w:rFonts w:ascii="Arial" w:hAnsi="Arial" w:cs="Arial"/>
          <w:sz w:val="22"/>
          <w:szCs w:val="22"/>
        </w:rPr>
        <w:t>a</w:t>
      </w:r>
      <w:r w:rsidR="002A0972">
        <w:rPr>
          <w:rFonts w:ascii="Arial" w:hAnsi="Arial" w:cs="Arial"/>
          <w:sz w:val="22"/>
          <w:szCs w:val="22"/>
        </w:rPr>
        <w:t>n increase</w:t>
      </w:r>
      <w:r w:rsidR="00776BCD">
        <w:rPr>
          <w:rFonts w:ascii="Arial" w:hAnsi="Arial" w:cs="Arial"/>
          <w:sz w:val="22"/>
          <w:szCs w:val="22"/>
        </w:rPr>
        <w:t>,</w:t>
      </w:r>
      <w:r w:rsidR="002A0972">
        <w:rPr>
          <w:rFonts w:ascii="Arial" w:hAnsi="Arial" w:cs="Arial"/>
          <w:sz w:val="22"/>
          <w:szCs w:val="22"/>
        </w:rPr>
        <w:t xml:space="preserve"> as set out below</w:t>
      </w:r>
      <w:r w:rsidR="00776BCD">
        <w:rPr>
          <w:rFonts w:ascii="Arial" w:hAnsi="Arial" w:cs="Arial"/>
          <w:sz w:val="22"/>
          <w:szCs w:val="22"/>
        </w:rPr>
        <w:t>,</w:t>
      </w:r>
      <w:r w:rsidR="002A0972">
        <w:rPr>
          <w:rFonts w:ascii="Arial" w:hAnsi="Arial" w:cs="Arial"/>
          <w:sz w:val="22"/>
          <w:szCs w:val="22"/>
        </w:rPr>
        <w:t xml:space="preserve"> </w:t>
      </w:r>
      <w:r w:rsidR="00D30540" w:rsidRPr="006173AE">
        <w:rPr>
          <w:rFonts w:ascii="Arial" w:hAnsi="Arial" w:cs="Arial"/>
          <w:sz w:val="22"/>
          <w:szCs w:val="22"/>
        </w:rPr>
        <w:t>that rewards productivity gains</w:t>
      </w:r>
      <w:r w:rsidR="001B1102">
        <w:rPr>
          <w:rFonts w:ascii="Arial" w:hAnsi="Arial" w:cs="Arial"/>
          <w:sz w:val="22"/>
          <w:szCs w:val="22"/>
        </w:rPr>
        <w:t>,</w:t>
      </w:r>
      <w:r w:rsidR="00D30540" w:rsidRPr="00C0029C">
        <w:rPr>
          <w:rFonts w:ascii="Arial" w:hAnsi="Arial" w:cs="Arial"/>
          <w:sz w:val="22"/>
          <w:szCs w:val="22"/>
        </w:rPr>
        <w:t xml:space="preserve"> </w:t>
      </w:r>
      <w:r w:rsidR="00CC6116" w:rsidRPr="00C0029C">
        <w:rPr>
          <w:rFonts w:ascii="Arial" w:hAnsi="Arial" w:cs="Arial"/>
          <w:sz w:val="22"/>
          <w:szCs w:val="22"/>
        </w:rPr>
        <w:t>improves</w:t>
      </w:r>
      <w:r w:rsidR="00D30540" w:rsidRPr="00C0029C">
        <w:rPr>
          <w:rFonts w:ascii="Arial" w:hAnsi="Arial" w:cs="Arial"/>
          <w:sz w:val="22"/>
          <w:szCs w:val="22"/>
        </w:rPr>
        <w:t xml:space="preserve"> the</w:t>
      </w:r>
      <w:r w:rsidR="00D30540" w:rsidRPr="006173AE">
        <w:rPr>
          <w:rFonts w:ascii="Arial" w:hAnsi="Arial" w:cs="Arial"/>
          <w:sz w:val="22"/>
          <w:szCs w:val="22"/>
        </w:rPr>
        <w:t xml:space="preserve"> value of real wages as well as the living standards for workers </w:t>
      </w:r>
      <w:r w:rsidR="00C83BCA">
        <w:rPr>
          <w:rFonts w:ascii="Arial" w:hAnsi="Arial" w:cs="Arial"/>
          <w:sz w:val="22"/>
          <w:szCs w:val="22"/>
        </w:rPr>
        <w:t xml:space="preserve">reliant </w:t>
      </w:r>
      <w:r w:rsidR="00D30540" w:rsidRPr="006173AE">
        <w:rPr>
          <w:rFonts w:ascii="Arial" w:hAnsi="Arial" w:cs="Arial"/>
          <w:sz w:val="22"/>
          <w:szCs w:val="22"/>
        </w:rPr>
        <w:t>on the National Minimum Wage (NMW)</w:t>
      </w:r>
      <w:r w:rsidR="009A4D0A">
        <w:rPr>
          <w:rFonts w:ascii="Arial" w:hAnsi="Arial" w:cs="Arial"/>
          <w:sz w:val="22"/>
          <w:szCs w:val="22"/>
        </w:rPr>
        <w:t xml:space="preserve"> </w:t>
      </w:r>
      <w:r w:rsidR="00C83BCA">
        <w:rPr>
          <w:rFonts w:ascii="Arial" w:hAnsi="Arial" w:cs="Arial"/>
          <w:sz w:val="22"/>
          <w:szCs w:val="22"/>
        </w:rPr>
        <w:t xml:space="preserve">or modern </w:t>
      </w:r>
      <w:r w:rsidR="00D30540" w:rsidRPr="006173AE">
        <w:rPr>
          <w:rFonts w:ascii="Arial" w:hAnsi="Arial" w:cs="Arial"/>
          <w:sz w:val="22"/>
          <w:szCs w:val="22"/>
        </w:rPr>
        <w:t xml:space="preserve">award </w:t>
      </w:r>
      <w:r w:rsidR="00C83BCA">
        <w:rPr>
          <w:rFonts w:ascii="Arial" w:hAnsi="Arial" w:cs="Arial"/>
          <w:sz w:val="22"/>
          <w:szCs w:val="22"/>
        </w:rPr>
        <w:t xml:space="preserve">minimum </w:t>
      </w:r>
      <w:r w:rsidR="00D30540" w:rsidRPr="006173AE">
        <w:rPr>
          <w:rFonts w:ascii="Arial" w:hAnsi="Arial" w:cs="Arial"/>
          <w:sz w:val="22"/>
          <w:szCs w:val="22"/>
        </w:rPr>
        <w:t>wage</w:t>
      </w:r>
      <w:r w:rsidR="00C83BCA">
        <w:rPr>
          <w:rFonts w:ascii="Arial" w:hAnsi="Arial" w:cs="Arial"/>
          <w:sz w:val="22"/>
          <w:szCs w:val="22"/>
        </w:rPr>
        <w:t>s</w:t>
      </w:r>
      <w:r w:rsidR="00776BCD">
        <w:rPr>
          <w:rFonts w:ascii="Arial" w:hAnsi="Arial" w:cs="Arial"/>
          <w:sz w:val="22"/>
          <w:szCs w:val="22"/>
        </w:rPr>
        <w:t xml:space="preserve">, </w:t>
      </w:r>
      <w:r w:rsidR="001748D1">
        <w:rPr>
          <w:rFonts w:ascii="Arial" w:hAnsi="Arial" w:cs="Arial"/>
          <w:sz w:val="22"/>
          <w:szCs w:val="22"/>
        </w:rPr>
        <w:t>that protects the low paid</w:t>
      </w:r>
      <w:r w:rsidR="00776BCD">
        <w:rPr>
          <w:rFonts w:ascii="Arial" w:hAnsi="Arial" w:cs="Arial"/>
          <w:sz w:val="22"/>
          <w:szCs w:val="22"/>
        </w:rPr>
        <w:t>,</w:t>
      </w:r>
      <w:r w:rsidR="001748D1">
        <w:rPr>
          <w:rFonts w:ascii="Arial" w:hAnsi="Arial" w:cs="Arial"/>
          <w:sz w:val="22"/>
          <w:szCs w:val="22"/>
        </w:rPr>
        <w:t xml:space="preserve"> and </w:t>
      </w:r>
      <w:r w:rsidR="00776BCD">
        <w:rPr>
          <w:rFonts w:ascii="Arial" w:hAnsi="Arial" w:cs="Arial"/>
          <w:sz w:val="22"/>
          <w:szCs w:val="22"/>
        </w:rPr>
        <w:t xml:space="preserve">that </w:t>
      </w:r>
      <w:r w:rsidR="001748D1">
        <w:rPr>
          <w:rFonts w:ascii="Arial" w:hAnsi="Arial" w:cs="Arial"/>
          <w:sz w:val="22"/>
          <w:szCs w:val="22"/>
        </w:rPr>
        <w:t xml:space="preserve">is </w:t>
      </w:r>
      <w:r w:rsidR="00D30540">
        <w:rPr>
          <w:rFonts w:ascii="Arial" w:hAnsi="Arial" w:cs="Arial"/>
          <w:sz w:val="22"/>
          <w:szCs w:val="22"/>
        </w:rPr>
        <w:t>economically responsible</w:t>
      </w:r>
      <w:r w:rsidR="0098310B">
        <w:rPr>
          <w:rFonts w:ascii="Arial" w:hAnsi="Arial" w:cs="Arial"/>
          <w:sz w:val="22"/>
          <w:szCs w:val="22"/>
        </w:rPr>
        <w:t>.</w:t>
      </w:r>
      <w:r w:rsidR="00D30540">
        <w:rPr>
          <w:rFonts w:ascii="Arial" w:hAnsi="Arial" w:cs="Arial"/>
          <w:sz w:val="22"/>
          <w:szCs w:val="22"/>
        </w:rPr>
        <w:t xml:space="preserve"> </w:t>
      </w:r>
      <w:r>
        <w:rPr>
          <w:rFonts w:ascii="Arial" w:hAnsi="Arial" w:cs="Arial"/>
          <w:sz w:val="22"/>
          <w:szCs w:val="22"/>
        </w:rPr>
        <w:t xml:space="preserve">   </w:t>
      </w:r>
    </w:p>
    <w:p w14:paraId="5A917538" w14:textId="16E4B450" w:rsidR="00D30540" w:rsidRDefault="005C7E10" w:rsidP="00B00A90">
      <w:pPr>
        <w:spacing w:before="240" w:after="240" w:line="360" w:lineRule="auto"/>
        <w:jc w:val="both"/>
        <w:rPr>
          <w:rFonts w:ascii="Arial" w:hAnsi="Arial" w:cs="Arial"/>
          <w:sz w:val="22"/>
          <w:szCs w:val="22"/>
        </w:rPr>
      </w:pPr>
      <w:r w:rsidRPr="006173AE">
        <w:rPr>
          <w:rFonts w:ascii="Arial" w:hAnsi="Arial" w:cs="Arial"/>
          <w:sz w:val="22"/>
          <w:szCs w:val="22"/>
        </w:rPr>
        <w:t xml:space="preserve">In determining the </w:t>
      </w:r>
      <w:r w:rsidR="002A0972">
        <w:rPr>
          <w:rFonts w:ascii="Arial" w:hAnsi="Arial" w:cs="Arial"/>
          <w:sz w:val="22"/>
          <w:szCs w:val="22"/>
        </w:rPr>
        <w:t xml:space="preserve">level of </w:t>
      </w:r>
      <w:r w:rsidRPr="006173AE">
        <w:rPr>
          <w:rFonts w:ascii="Arial" w:hAnsi="Arial" w:cs="Arial"/>
          <w:sz w:val="22"/>
          <w:szCs w:val="22"/>
        </w:rPr>
        <w:t xml:space="preserve">increase, a broad range of indicators should be considered. </w:t>
      </w:r>
      <w:r w:rsidR="00B00A90">
        <w:rPr>
          <w:rFonts w:ascii="Arial" w:hAnsi="Arial" w:cs="Arial"/>
          <w:sz w:val="22"/>
          <w:szCs w:val="22"/>
        </w:rPr>
        <w:br/>
      </w:r>
      <w:r w:rsidRPr="006173AE">
        <w:rPr>
          <w:rFonts w:ascii="Arial" w:hAnsi="Arial" w:cs="Arial"/>
          <w:sz w:val="22"/>
          <w:szCs w:val="22"/>
        </w:rPr>
        <w:t>These include inflation, employment, wage growth, business profits and conditions</w:t>
      </w:r>
      <w:r w:rsidR="00664E13">
        <w:rPr>
          <w:rFonts w:ascii="Arial" w:hAnsi="Arial" w:cs="Arial"/>
          <w:sz w:val="22"/>
          <w:szCs w:val="22"/>
        </w:rPr>
        <w:t>,</w:t>
      </w:r>
      <w:r w:rsidRPr="006173AE">
        <w:rPr>
          <w:rFonts w:ascii="Arial" w:hAnsi="Arial" w:cs="Arial"/>
          <w:sz w:val="22"/>
          <w:szCs w:val="22"/>
        </w:rPr>
        <w:t xml:space="preserve"> productivity growth</w:t>
      </w:r>
      <w:r w:rsidR="00776BCD">
        <w:rPr>
          <w:rFonts w:ascii="Arial" w:hAnsi="Arial" w:cs="Arial"/>
          <w:sz w:val="22"/>
          <w:szCs w:val="22"/>
        </w:rPr>
        <w:t xml:space="preserve">, relative living standards and the needs of the low paid. </w:t>
      </w:r>
      <w:r w:rsidRPr="005F7FF6">
        <w:rPr>
          <w:rFonts w:ascii="Arial" w:hAnsi="Arial" w:cs="Arial"/>
          <w:sz w:val="22"/>
          <w:szCs w:val="22"/>
        </w:rPr>
        <w:t xml:space="preserve"> </w:t>
      </w:r>
      <w:r w:rsidR="002366F9" w:rsidRPr="005F7FF6">
        <w:rPr>
          <w:rFonts w:ascii="Arial" w:hAnsi="Arial" w:cs="Arial"/>
          <w:sz w:val="22"/>
          <w:szCs w:val="22"/>
        </w:rPr>
        <w:t xml:space="preserve"> </w:t>
      </w:r>
    </w:p>
    <w:p w14:paraId="194ACA93" w14:textId="6E44A6AB" w:rsidR="004210B5" w:rsidRDefault="004210B5" w:rsidP="00B00A90">
      <w:pPr>
        <w:spacing w:before="240" w:after="240" w:line="360" w:lineRule="auto"/>
        <w:jc w:val="both"/>
        <w:rPr>
          <w:rFonts w:ascii="Arial" w:hAnsi="Arial" w:cs="Arial"/>
          <w:sz w:val="22"/>
          <w:szCs w:val="22"/>
        </w:rPr>
      </w:pPr>
      <w:r>
        <w:rPr>
          <w:rFonts w:ascii="Arial" w:hAnsi="Arial" w:cs="Arial"/>
          <w:sz w:val="22"/>
          <w:szCs w:val="22"/>
        </w:rPr>
        <w:t>The Queensland Government notes there has been a</w:t>
      </w:r>
      <w:r w:rsidR="00BE3F0F">
        <w:rPr>
          <w:rFonts w:ascii="Arial" w:hAnsi="Arial" w:cs="Arial"/>
          <w:sz w:val="22"/>
          <w:szCs w:val="22"/>
        </w:rPr>
        <w:t>n</w:t>
      </w:r>
      <w:r>
        <w:rPr>
          <w:rFonts w:ascii="Arial" w:hAnsi="Arial" w:cs="Arial"/>
          <w:sz w:val="22"/>
          <w:szCs w:val="22"/>
        </w:rPr>
        <w:t xml:space="preserve"> </w:t>
      </w:r>
      <w:r w:rsidR="00BE3F0F">
        <w:rPr>
          <w:rFonts w:ascii="Arial" w:hAnsi="Arial" w:cs="Arial"/>
          <w:sz w:val="22"/>
          <w:szCs w:val="22"/>
        </w:rPr>
        <w:t>increase</w:t>
      </w:r>
      <w:r>
        <w:rPr>
          <w:rFonts w:ascii="Arial" w:hAnsi="Arial" w:cs="Arial"/>
          <w:sz w:val="22"/>
          <w:szCs w:val="22"/>
        </w:rPr>
        <w:t xml:space="preserve"> in the </w:t>
      </w:r>
      <w:r w:rsidR="00BE3F0F">
        <w:rPr>
          <w:rFonts w:ascii="Arial" w:hAnsi="Arial" w:cs="Arial"/>
          <w:sz w:val="22"/>
          <w:szCs w:val="22"/>
        </w:rPr>
        <w:t>proportion</w:t>
      </w:r>
      <w:r>
        <w:rPr>
          <w:rFonts w:ascii="Arial" w:hAnsi="Arial" w:cs="Arial"/>
          <w:sz w:val="22"/>
          <w:szCs w:val="22"/>
        </w:rPr>
        <w:t xml:space="preserve"> of employees who</w:t>
      </w:r>
      <w:r w:rsidR="006977EC">
        <w:rPr>
          <w:rFonts w:ascii="Arial" w:hAnsi="Arial" w:cs="Arial"/>
          <w:sz w:val="22"/>
          <w:szCs w:val="22"/>
        </w:rPr>
        <w:t xml:space="preserve"> rely on award</w:t>
      </w:r>
      <w:r w:rsidR="00BA3E2A">
        <w:rPr>
          <w:rFonts w:ascii="Arial" w:hAnsi="Arial" w:cs="Arial"/>
          <w:sz w:val="22"/>
          <w:szCs w:val="22"/>
        </w:rPr>
        <w:t xml:space="preserve">s for their actual rate of pay. </w:t>
      </w:r>
      <w:r w:rsidR="00BE3F0F">
        <w:rPr>
          <w:rFonts w:ascii="Arial" w:hAnsi="Arial" w:cs="Arial"/>
          <w:sz w:val="22"/>
          <w:szCs w:val="22"/>
        </w:rPr>
        <w:t>In 2008</w:t>
      </w:r>
      <w:r w:rsidR="00D758CA">
        <w:rPr>
          <w:rFonts w:ascii="Arial" w:hAnsi="Arial" w:cs="Arial"/>
          <w:sz w:val="22"/>
          <w:szCs w:val="22"/>
        </w:rPr>
        <w:t>,</w:t>
      </w:r>
      <w:r w:rsidR="00BE3F0F">
        <w:rPr>
          <w:rFonts w:ascii="Arial" w:hAnsi="Arial" w:cs="Arial"/>
          <w:sz w:val="22"/>
          <w:szCs w:val="22"/>
        </w:rPr>
        <w:t xml:space="preserve"> 16.5%</w:t>
      </w:r>
      <w:r w:rsidR="00D758CA">
        <w:rPr>
          <w:rStyle w:val="FootnoteReference"/>
          <w:rFonts w:ascii="Arial" w:hAnsi="Arial" w:cs="Arial"/>
          <w:sz w:val="22"/>
          <w:szCs w:val="22"/>
        </w:rPr>
        <w:footnoteReference w:id="2"/>
      </w:r>
      <w:r w:rsidR="00BE3F0F">
        <w:rPr>
          <w:rFonts w:ascii="Arial" w:hAnsi="Arial" w:cs="Arial"/>
          <w:sz w:val="22"/>
          <w:szCs w:val="22"/>
        </w:rPr>
        <w:t xml:space="preserve"> of non-managerial employees were</w:t>
      </w:r>
      <w:r w:rsidR="00B00A90">
        <w:rPr>
          <w:rFonts w:ascii="Arial" w:hAnsi="Arial" w:cs="Arial"/>
          <w:sz w:val="22"/>
          <w:szCs w:val="22"/>
        </w:rPr>
        <w:t xml:space="preserve"> award reliant. </w:t>
      </w:r>
      <w:r w:rsidR="00D758CA">
        <w:rPr>
          <w:rFonts w:ascii="Arial" w:hAnsi="Arial" w:cs="Arial"/>
          <w:sz w:val="22"/>
          <w:szCs w:val="22"/>
        </w:rPr>
        <w:t>By 2018, this had increase</w:t>
      </w:r>
      <w:r w:rsidR="006977EC">
        <w:rPr>
          <w:rFonts w:ascii="Arial" w:hAnsi="Arial" w:cs="Arial"/>
          <w:sz w:val="22"/>
          <w:szCs w:val="22"/>
        </w:rPr>
        <w:t>d</w:t>
      </w:r>
      <w:r w:rsidR="00D758CA">
        <w:rPr>
          <w:rFonts w:ascii="Arial" w:hAnsi="Arial" w:cs="Arial"/>
          <w:sz w:val="22"/>
          <w:szCs w:val="22"/>
        </w:rPr>
        <w:t xml:space="preserve"> to 22.5%</w:t>
      </w:r>
      <w:r w:rsidR="00D758CA">
        <w:rPr>
          <w:rStyle w:val="FootnoteReference"/>
          <w:rFonts w:ascii="Arial" w:hAnsi="Arial" w:cs="Arial"/>
          <w:sz w:val="22"/>
          <w:szCs w:val="22"/>
        </w:rPr>
        <w:footnoteReference w:id="3"/>
      </w:r>
      <w:r>
        <w:rPr>
          <w:rFonts w:ascii="Arial" w:hAnsi="Arial" w:cs="Arial"/>
          <w:sz w:val="22"/>
          <w:szCs w:val="22"/>
        </w:rPr>
        <w:t>. By extension, this plac</w:t>
      </w:r>
      <w:r w:rsidR="00BE3F0F">
        <w:rPr>
          <w:rFonts w:ascii="Arial" w:hAnsi="Arial" w:cs="Arial"/>
          <w:sz w:val="22"/>
          <w:szCs w:val="22"/>
        </w:rPr>
        <w:t>es</w:t>
      </w:r>
      <w:r>
        <w:rPr>
          <w:rFonts w:ascii="Arial" w:hAnsi="Arial" w:cs="Arial"/>
          <w:sz w:val="22"/>
          <w:szCs w:val="22"/>
        </w:rPr>
        <w:t xml:space="preserve"> even greater emphasis on the Panel’s consideration of minimum wage</w:t>
      </w:r>
      <w:r w:rsidR="00BE3F0F">
        <w:rPr>
          <w:rFonts w:ascii="Arial" w:hAnsi="Arial" w:cs="Arial"/>
          <w:sz w:val="22"/>
          <w:szCs w:val="22"/>
        </w:rPr>
        <w:t xml:space="preserve"> and award</w:t>
      </w:r>
      <w:r>
        <w:rPr>
          <w:rFonts w:ascii="Arial" w:hAnsi="Arial" w:cs="Arial"/>
          <w:sz w:val="22"/>
          <w:szCs w:val="22"/>
        </w:rPr>
        <w:t xml:space="preserve"> increases that are fair in the context of improved living standards for </w:t>
      </w:r>
      <w:r w:rsidR="00BE3F0F">
        <w:rPr>
          <w:rFonts w:ascii="Arial" w:hAnsi="Arial" w:cs="Arial"/>
          <w:sz w:val="22"/>
          <w:szCs w:val="22"/>
        </w:rPr>
        <w:t xml:space="preserve">all </w:t>
      </w:r>
      <w:r>
        <w:rPr>
          <w:rFonts w:ascii="Arial" w:hAnsi="Arial" w:cs="Arial"/>
          <w:sz w:val="22"/>
          <w:szCs w:val="22"/>
        </w:rPr>
        <w:t>workers.</w:t>
      </w:r>
    </w:p>
    <w:p w14:paraId="654A2C16" w14:textId="77777777" w:rsidR="004210B5" w:rsidRPr="00D30540" w:rsidRDefault="004210B5" w:rsidP="00B00A90">
      <w:pPr>
        <w:spacing w:before="240" w:after="240" w:line="360" w:lineRule="auto"/>
        <w:jc w:val="both"/>
        <w:rPr>
          <w:rFonts w:ascii="Arial" w:hAnsi="Arial" w:cs="Arial"/>
          <w:sz w:val="22"/>
          <w:szCs w:val="22"/>
        </w:rPr>
      </w:pPr>
      <w:r w:rsidRPr="00414DA4">
        <w:rPr>
          <w:rFonts w:ascii="Arial" w:hAnsi="Arial" w:cs="Arial"/>
          <w:sz w:val="22"/>
          <w:szCs w:val="22"/>
        </w:rPr>
        <w:t>Additionally, as noted in previous AWR decisions of the Expert Panel, including last year’s</w:t>
      </w:r>
      <w:r w:rsidRPr="00414DA4">
        <w:rPr>
          <w:rStyle w:val="FootnoteReference"/>
          <w:rFonts w:ascii="Arial" w:hAnsi="Arial" w:cs="Arial"/>
          <w:sz w:val="22"/>
          <w:szCs w:val="22"/>
        </w:rPr>
        <w:footnoteReference w:id="4"/>
      </w:r>
      <w:r w:rsidRPr="00414DA4">
        <w:rPr>
          <w:rFonts w:ascii="Arial" w:hAnsi="Arial" w:cs="Arial"/>
          <w:sz w:val="22"/>
          <w:szCs w:val="22"/>
        </w:rPr>
        <w:t xml:space="preserve"> decision, women workers continue to be more likely </w:t>
      </w:r>
      <w:r>
        <w:rPr>
          <w:rFonts w:ascii="Arial" w:hAnsi="Arial" w:cs="Arial"/>
          <w:sz w:val="22"/>
          <w:szCs w:val="22"/>
        </w:rPr>
        <w:t>than men</w:t>
      </w:r>
      <w:r w:rsidRPr="00414DA4">
        <w:rPr>
          <w:rFonts w:ascii="Arial" w:hAnsi="Arial" w:cs="Arial"/>
          <w:sz w:val="22"/>
          <w:szCs w:val="22"/>
        </w:rPr>
        <w:t xml:space="preserve"> to be reliant upon the NMW and award rates of pay and those on these minimum rates are more likely to be low paid. On this basis it is argued that raising the </w:t>
      </w:r>
      <w:r>
        <w:rPr>
          <w:rFonts w:ascii="Arial" w:hAnsi="Arial" w:cs="Arial"/>
          <w:sz w:val="22"/>
          <w:szCs w:val="22"/>
        </w:rPr>
        <w:t xml:space="preserve">NMW </w:t>
      </w:r>
      <w:r w:rsidRPr="00414DA4">
        <w:rPr>
          <w:rFonts w:ascii="Arial" w:hAnsi="Arial" w:cs="Arial"/>
          <w:sz w:val="22"/>
          <w:szCs w:val="22"/>
        </w:rPr>
        <w:t>and modern award minimum wages will promote gender pay equity.</w:t>
      </w:r>
      <w:r>
        <w:rPr>
          <w:rFonts w:ascii="Arial" w:hAnsi="Arial" w:cs="Arial"/>
          <w:sz w:val="22"/>
          <w:szCs w:val="22"/>
        </w:rPr>
        <w:t xml:space="preserve"> </w:t>
      </w:r>
    </w:p>
    <w:p w14:paraId="07240252" w14:textId="7CF530D1" w:rsidR="00DD713A" w:rsidRDefault="004210B5" w:rsidP="00DD713A">
      <w:pPr>
        <w:spacing w:before="240" w:after="240" w:line="360" w:lineRule="auto"/>
        <w:jc w:val="both"/>
        <w:rPr>
          <w:rFonts w:ascii="Arial" w:hAnsi="Arial" w:cs="Arial"/>
          <w:sz w:val="22"/>
          <w:szCs w:val="22"/>
        </w:rPr>
      </w:pPr>
      <w:r>
        <w:rPr>
          <w:rFonts w:ascii="Arial" w:hAnsi="Arial" w:cs="Arial"/>
          <w:sz w:val="22"/>
          <w:szCs w:val="22"/>
        </w:rPr>
        <w:t xml:space="preserve">The </w:t>
      </w:r>
      <w:r w:rsidRPr="002A0972">
        <w:rPr>
          <w:rFonts w:ascii="Arial" w:hAnsi="Arial" w:cs="Arial"/>
          <w:sz w:val="22"/>
          <w:szCs w:val="22"/>
        </w:rPr>
        <w:t>Queensland Government submits</w:t>
      </w:r>
      <w:r>
        <w:rPr>
          <w:rFonts w:ascii="Arial" w:hAnsi="Arial" w:cs="Arial"/>
          <w:sz w:val="22"/>
          <w:szCs w:val="22"/>
        </w:rPr>
        <w:t xml:space="preserve"> a real wage increase </w:t>
      </w:r>
      <w:r w:rsidRPr="002A0972">
        <w:rPr>
          <w:rFonts w:ascii="Arial" w:hAnsi="Arial" w:cs="Arial"/>
          <w:sz w:val="22"/>
          <w:szCs w:val="22"/>
        </w:rPr>
        <w:t>that rewards productivity gains and improves living standards</w:t>
      </w:r>
      <w:r w:rsidR="006B272F">
        <w:rPr>
          <w:rFonts w:ascii="Arial" w:hAnsi="Arial" w:cs="Arial"/>
          <w:sz w:val="22"/>
          <w:szCs w:val="22"/>
        </w:rPr>
        <w:t>,</w:t>
      </w:r>
      <w:r w:rsidRPr="002A0972">
        <w:rPr>
          <w:rFonts w:ascii="Arial" w:hAnsi="Arial" w:cs="Arial"/>
          <w:sz w:val="22"/>
          <w:szCs w:val="22"/>
        </w:rPr>
        <w:t xml:space="preserve"> is economically sustainable and consistent with the objects of the FW</w:t>
      </w:r>
      <w:r w:rsidR="00F9007C">
        <w:rPr>
          <w:rFonts w:ascii="Arial" w:hAnsi="Arial" w:cs="Arial"/>
          <w:sz w:val="22"/>
          <w:szCs w:val="22"/>
        </w:rPr>
        <w:t> </w:t>
      </w:r>
      <w:r w:rsidRPr="00B00A90">
        <w:rPr>
          <w:rFonts w:ascii="Arial" w:hAnsi="Arial" w:cs="Arial"/>
          <w:sz w:val="22"/>
          <w:szCs w:val="22"/>
        </w:rPr>
        <w:t>Act. Consistent with the principles and considerations outlined in this submission, and based on data available at the time of this submission, the Queensland Government supports</w:t>
      </w:r>
      <w:r w:rsidR="00B24E7C" w:rsidRPr="00B24E7C">
        <w:t xml:space="preserve"> </w:t>
      </w:r>
      <w:r w:rsidR="000E59BB">
        <w:rPr>
          <w:rFonts w:ascii="Arial" w:hAnsi="Arial" w:cs="Arial"/>
          <w:sz w:val="22"/>
          <w:szCs w:val="22"/>
        </w:rPr>
        <w:t xml:space="preserve">a </w:t>
      </w:r>
      <w:r w:rsidR="000E59BB" w:rsidRPr="000E59BB">
        <w:rPr>
          <w:rFonts w:ascii="Arial" w:hAnsi="Arial" w:cs="Arial"/>
          <w:sz w:val="22"/>
          <w:szCs w:val="22"/>
        </w:rPr>
        <w:t>3.5% increase to the NMW and a fair and reasonable increase to minimum award rates of pay</w:t>
      </w:r>
      <w:r w:rsidRPr="00B00A90">
        <w:rPr>
          <w:rFonts w:ascii="Arial" w:hAnsi="Arial" w:cs="Arial"/>
          <w:sz w:val="22"/>
          <w:szCs w:val="22"/>
        </w:rPr>
        <w:t>.</w:t>
      </w:r>
      <w:r>
        <w:rPr>
          <w:rFonts w:ascii="Arial" w:hAnsi="Arial" w:cs="Arial"/>
          <w:sz w:val="22"/>
          <w:szCs w:val="22"/>
        </w:rPr>
        <w:t xml:space="preserve"> </w:t>
      </w:r>
      <w:r w:rsidR="00A91894">
        <w:rPr>
          <w:rFonts w:ascii="Arial" w:hAnsi="Arial" w:cs="Arial"/>
          <w:sz w:val="22"/>
          <w:szCs w:val="22"/>
        </w:rPr>
        <w:t>At the level of the NMW, this equates to an increase of $</w:t>
      </w:r>
      <w:r w:rsidR="004D7329">
        <w:rPr>
          <w:rFonts w:ascii="Arial" w:hAnsi="Arial" w:cs="Arial"/>
          <w:sz w:val="22"/>
          <w:szCs w:val="22"/>
        </w:rPr>
        <w:t>25.17 a week</w:t>
      </w:r>
      <w:r w:rsidR="00EA5BDA">
        <w:rPr>
          <w:rFonts w:ascii="Arial" w:hAnsi="Arial" w:cs="Arial"/>
          <w:sz w:val="22"/>
          <w:szCs w:val="22"/>
        </w:rPr>
        <w:t xml:space="preserve">, </w:t>
      </w:r>
      <w:r w:rsidR="00EA339A">
        <w:rPr>
          <w:rFonts w:ascii="Arial" w:hAnsi="Arial" w:cs="Arial"/>
          <w:sz w:val="22"/>
          <w:szCs w:val="22"/>
        </w:rPr>
        <w:t xml:space="preserve">which would </w:t>
      </w:r>
      <w:r w:rsidR="00EA5BDA">
        <w:rPr>
          <w:rFonts w:ascii="Arial" w:hAnsi="Arial" w:cs="Arial"/>
          <w:sz w:val="22"/>
          <w:szCs w:val="22"/>
        </w:rPr>
        <w:t>lift the current NMW from $719.20 a week to</w:t>
      </w:r>
      <w:r w:rsidR="003B0CC7">
        <w:rPr>
          <w:rFonts w:ascii="Arial" w:hAnsi="Arial" w:cs="Arial"/>
          <w:sz w:val="22"/>
          <w:szCs w:val="22"/>
        </w:rPr>
        <w:t xml:space="preserve"> </w:t>
      </w:r>
      <w:r w:rsidR="00EA5BDA">
        <w:rPr>
          <w:rFonts w:ascii="Arial" w:hAnsi="Arial" w:cs="Arial"/>
          <w:sz w:val="22"/>
          <w:szCs w:val="22"/>
        </w:rPr>
        <w:t>$744.</w:t>
      </w:r>
      <w:r w:rsidR="00A257CB">
        <w:rPr>
          <w:rFonts w:ascii="Arial" w:hAnsi="Arial" w:cs="Arial"/>
          <w:sz w:val="22"/>
          <w:szCs w:val="22"/>
        </w:rPr>
        <w:t xml:space="preserve">40 </w:t>
      </w:r>
      <w:r w:rsidR="003B0CC7">
        <w:rPr>
          <w:rFonts w:ascii="Arial" w:hAnsi="Arial" w:cs="Arial"/>
          <w:sz w:val="22"/>
          <w:szCs w:val="22"/>
        </w:rPr>
        <w:t xml:space="preserve">a </w:t>
      </w:r>
      <w:r w:rsidR="00EA339A">
        <w:rPr>
          <w:rFonts w:ascii="Arial" w:hAnsi="Arial" w:cs="Arial"/>
          <w:sz w:val="22"/>
          <w:szCs w:val="22"/>
        </w:rPr>
        <w:t xml:space="preserve">week </w:t>
      </w:r>
      <w:r w:rsidR="00A257CB">
        <w:rPr>
          <w:rFonts w:ascii="Arial" w:hAnsi="Arial" w:cs="Arial"/>
          <w:sz w:val="22"/>
          <w:szCs w:val="22"/>
        </w:rPr>
        <w:t xml:space="preserve">(rounded up) or </w:t>
      </w:r>
      <w:r w:rsidR="00DD713A">
        <w:rPr>
          <w:rFonts w:ascii="Arial" w:hAnsi="Arial" w:cs="Arial"/>
          <w:sz w:val="22"/>
          <w:szCs w:val="22"/>
        </w:rPr>
        <w:t>$</w:t>
      </w:r>
      <w:r w:rsidR="00EA5BDA">
        <w:rPr>
          <w:rFonts w:ascii="Arial" w:hAnsi="Arial" w:cs="Arial"/>
          <w:sz w:val="22"/>
          <w:szCs w:val="22"/>
        </w:rPr>
        <w:t>19.5</w:t>
      </w:r>
      <w:r w:rsidR="00A257CB">
        <w:rPr>
          <w:rFonts w:ascii="Arial" w:hAnsi="Arial" w:cs="Arial"/>
          <w:sz w:val="22"/>
          <w:szCs w:val="22"/>
        </w:rPr>
        <w:t>9</w:t>
      </w:r>
      <w:r w:rsidR="00EA5BDA">
        <w:rPr>
          <w:rFonts w:ascii="Arial" w:hAnsi="Arial" w:cs="Arial"/>
          <w:sz w:val="22"/>
          <w:szCs w:val="22"/>
        </w:rPr>
        <w:t xml:space="preserve"> an hour</w:t>
      </w:r>
      <w:r w:rsidR="000E59BB">
        <w:rPr>
          <w:rFonts w:ascii="Arial" w:hAnsi="Arial" w:cs="Arial"/>
          <w:sz w:val="22"/>
          <w:szCs w:val="22"/>
        </w:rPr>
        <w:t>.</w:t>
      </w:r>
    </w:p>
    <w:p w14:paraId="770C4E56" w14:textId="4C2D7666" w:rsidR="00D16848" w:rsidRPr="006173AE" w:rsidRDefault="00D16848" w:rsidP="00DD713A">
      <w:pPr>
        <w:spacing w:before="240" w:after="240" w:line="360" w:lineRule="auto"/>
        <w:jc w:val="both"/>
        <w:rPr>
          <w:rFonts w:ascii="Arial" w:hAnsi="Arial" w:cs="Arial"/>
          <w:sz w:val="22"/>
          <w:szCs w:val="22"/>
        </w:rPr>
      </w:pPr>
      <w:r w:rsidRPr="006173AE">
        <w:rPr>
          <w:rFonts w:ascii="Arial" w:hAnsi="Arial" w:cs="Arial"/>
          <w:sz w:val="22"/>
          <w:szCs w:val="22"/>
        </w:rPr>
        <w:t>Th</w:t>
      </w:r>
      <w:r w:rsidR="00776BCD">
        <w:rPr>
          <w:rFonts w:ascii="Arial" w:hAnsi="Arial" w:cs="Arial"/>
          <w:sz w:val="22"/>
          <w:szCs w:val="22"/>
        </w:rPr>
        <w:t xml:space="preserve">e </w:t>
      </w:r>
      <w:r w:rsidRPr="006173AE">
        <w:rPr>
          <w:rFonts w:ascii="Arial" w:hAnsi="Arial" w:cs="Arial"/>
          <w:sz w:val="22"/>
          <w:szCs w:val="22"/>
        </w:rPr>
        <w:t xml:space="preserve">submission </w:t>
      </w:r>
      <w:r w:rsidR="00776BCD">
        <w:rPr>
          <w:rFonts w:ascii="Arial" w:hAnsi="Arial" w:cs="Arial"/>
          <w:sz w:val="22"/>
          <w:szCs w:val="22"/>
        </w:rPr>
        <w:t xml:space="preserve">that follows </w:t>
      </w:r>
      <w:r w:rsidRPr="006173AE">
        <w:rPr>
          <w:rFonts w:ascii="Arial" w:hAnsi="Arial" w:cs="Arial"/>
          <w:sz w:val="22"/>
          <w:szCs w:val="22"/>
        </w:rPr>
        <w:t xml:space="preserve">provides the Queensland </w:t>
      </w:r>
      <w:r w:rsidR="00EA339A">
        <w:rPr>
          <w:rFonts w:ascii="Arial" w:hAnsi="Arial" w:cs="Arial"/>
          <w:sz w:val="22"/>
          <w:szCs w:val="22"/>
        </w:rPr>
        <w:t xml:space="preserve">Government </w:t>
      </w:r>
      <w:r w:rsidRPr="006173AE">
        <w:rPr>
          <w:rFonts w:ascii="Arial" w:hAnsi="Arial" w:cs="Arial"/>
          <w:sz w:val="22"/>
          <w:szCs w:val="22"/>
        </w:rPr>
        <w:t>perspective on the current economic</w:t>
      </w:r>
      <w:r w:rsidR="0008714E" w:rsidRPr="006173AE">
        <w:rPr>
          <w:rFonts w:ascii="Arial" w:hAnsi="Arial" w:cs="Arial"/>
          <w:sz w:val="22"/>
          <w:szCs w:val="22"/>
        </w:rPr>
        <w:t xml:space="preserve"> and</w:t>
      </w:r>
      <w:r w:rsidRPr="006173AE">
        <w:rPr>
          <w:rFonts w:ascii="Arial" w:hAnsi="Arial" w:cs="Arial"/>
          <w:sz w:val="22"/>
          <w:szCs w:val="22"/>
        </w:rPr>
        <w:t xml:space="preserve"> social factors relevant to </w:t>
      </w:r>
      <w:r w:rsidR="00016807">
        <w:rPr>
          <w:rFonts w:ascii="Arial" w:hAnsi="Arial" w:cs="Arial"/>
          <w:sz w:val="22"/>
          <w:szCs w:val="22"/>
        </w:rPr>
        <w:t xml:space="preserve">the </w:t>
      </w:r>
      <w:r w:rsidRPr="006173AE">
        <w:rPr>
          <w:rFonts w:ascii="Arial" w:hAnsi="Arial" w:cs="Arial"/>
          <w:sz w:val="22"/>
          <w:szCs w:val="22"/>
        </w:rPr>
        <w:t xml:space="preserve">FWC’s review of minimum wages. </w:t>
      </w:r>
    </w:p>
    <w:p w14:paraId="2E262D28" w14:textId="77777777" w:rsidR="00D16848" w:rsidRDefault="00D16848" w:rsidP="00B80AB4">
      <w:pPr>
        <w:pStyle w:val="Heading1"/>
        <w:spacing w:after="240" w:line="360" w:lineRule="auto"/>
        <w:rPr>
          <w:rFonts w:ascii="Arial" w:hAnsi="Arial" w:cs="Arial"/>
        </w:rPr>
      </w:pPr>
      <w:bookmarkStart w:id="3" w:name="_Toc442256135"/>
      <w:bookmarkStart w:id="4" w:name="_Toc2688643"/>
      <w:r w:rsidRPr="00272590">
        <w:rPr>
          <w:rFonts w:ascii="Arial" w:hAnsi="Arial" w:cs="Arial"/>
        </w:rPr>
        <w:t xml:space="preserve">Legislative </w:t>
      </w:r>
      <w:r w:rsidR="00447254">
        <w:rPr>
          <w:rFonts w:ascii="Arial" w:hAnsi="Arial" w:cs="Arial"/>
        </w:rPr>
        <w:t>p</w:t>
      </w:r>
      <w:r w:rsidRPr="00272590">
        <w:rPr>
          <w:rFonts w:ascii="Arial" w:hAnsi="Arial" w:cs="Arial"/>
        </w:rPr>
        <w:t>arameters</w:t>
      </w:r>
      <w:bookmarkEnd w:id="3"/>
      <w:bookmarkEnd w:id="4"/>
      <w:r w:rsidRPr="00272590">
        <w:rPr>
          <w:rFonts w:ascii="Arial" w:hAnsi="Arial" w:cs="Arial"/>
        </w:rPr>
        <w:t xml:space="preserve"> </w:t>
      </w:r>
    </w:p>
    <w:p w14:paraId="099F3160" w14:textId="6D6EC8E0" w:rsidR="00B80AB4" w:rsidRPr="006173AE" w:rsidRDefault="00D16848" w:rsidP="00B00A90">
      <w:pPr>
        <w:spacing w:before="240" w:after="240" w:line="360" w:lineRule="auto"/>
        <w:jc w:val="both"/>
        <w:rPr>
          <w:rFonts w:ascii="Arial" w:hAnsi="Arial" w:cs="Arial"/>
          <w:sz w:val="22"/>
          <w:szCs w:val="22"/>
        </w:rPr>
      </w:pPr>
      <w:r w:rsidRPr="006173AE">
        <w:rPr>
          <w:rFonts w:ascii="Arial" w:hAnsi="Arial" w:cs="Arial"/>
          <w:sz w:val="22"/>
          <w:szCs w:val="22"/>
        </w:rPr>
        <w:t>The Queensland Government submits</w:t>
      </w:r>
      <w:r w:rsidR="00675280" w:rsidRPr="006173AE">
        <w:rPr>
          <w:rFonts w:ascii="Arial" w:hAnsi="Arial" w:cs="Arial"/>
          <w:sz w:val="22"/>
          <w:szCs w:val="22"/>
        </w:rPr>
        <w:t xml:space="preserve"> that the objects of the FW Act</w:t>
      </w:r>
      <w:r w:rsidR="00675280" w:rsidRPr="006173AE">
        <w:rPr>
          <w:rStyle w:val="FootnoteReference"/>
          <w:rFonts w:ascii="Arial" w:hAnsi="Arial" w:cs="Arial"/>
          <w:sz w:val="22"/>
          <w:szCs w:val="22"/>
        </w:rPr>
        <w:footnoteReference w:id="5"/>
      </w:r>
      <w:r w:rsidRPr="006173AE">
        <w:rPr>
          <w:rFonts w:ascii="Arial" w:hAnsi="Arial" w:cs="Arial"/>
          <w:sz w:val="22"/>
          <w:szCs w:val="22"/>
        </w:rPr>
        <w:t xml:space="preserve"> and the objectives of </w:t>
      </w:r>
      <w:r w:rsidR="00016807">
        <w:rPr>
          <w:rFonts w:ascii="Arial" w:hAnsi="Arial" w:cs="Arial"/>
          <w:sz w:val="22"/>
          <w:szCs w:val="22"/>
        </w:rPr>
        <w:t>m</w:t>
      </w:r>
      <w:r w:rsidRPr="006173AE">
        <w:rPr>
          <w:rFonts w:ascii="Arial" w:hAnsi="Arial" w:cs="Arial"/>
          <w:sz w:val="22"/>
          <w:szCs w:val="22"/>
        </w:rPr>
        <w:t xml:space="preserve">odern </w:t>
      </w:r>
      <w:r w:rsidR="00016807">
        <w:rPr>
          <w:rFonts w:ascii="Arial" w:hAnsi="Arial" w:cs="Arial"/>
          <w:sz w:val="22"/>
          <w:szCs w:val="22"/>
        </w:rPr>
        <w:t>a</w:t>
      </w:r>
      <w:r w:rsidRPr="006173AE">
        <w:rPr>
          <w:rFonts w:ascii="Arial" w:hAnsi="Arial" w:cs="Arial"/>
          <w:sz w:val="22"/>
          <w:szCs w:val="22"/>
        </w:rPr>
        <w:t>wards</w:t>
      </w:r>
      <w:r w:rsidR="00675280" w:rsidRPr="006173AE">
        <w:rPr>
          <w:rStyle w:val="FootnoteReference"/>
          <w:rFonts w:ascii="Arial" w:hAnsi="Arial" w:cs="Arial"/>
          <w:sz w:val="22"/>
          <w:szCs w:val="22"/>
        </w:rPr>
        <w:footnoteReference w:id="6"/>
      </w:r>
      <w:r w:rsidRPr="006173AE">
        <w:rPr>
          <w:rFonts w:ascii="Arial" w:hAnsi="Arial" w:cs="Arial"/>
          <w:sz w:val="22"/>
          <w:szCs w:val="22"/>
        </w:rPr>
        <w:t xml:space="preserve"> and minimum wages</w:t>
      </w:r>
      <w:r w:rsidR="00675280" w:rsidRPr="006173AE">
        <w:rPr>
          <w:rStyle w:val="FootnoteReference"/>
          <w:rFonts w:ascii="Arial" w:hAnsi="Arial" w:cs="Arial"/>
          <w:sz w:val="22"/>
          <w:szCs w:val="22"/>
        </w:rPr>
        <w:footnoteReference w:id="7"/>
      </w:r>
      <w:r w:rsidRPr="006173AE">
        <w:rPr>
          <w:rFonts w:ascii="Arial" w:hAnsi="Arial" w:cs="Arial"/>
          <w:sz w:val="22"/>
          <w:szCs w:val="22"/>
        </w:rPr>
        <w:t xml:space="preserve"> require </w:t>
      </w:r>
      <w:r w:rsidR="0008714E" w:rsidRPr="006173AE">
        <w:rPr>
          <w:rFonts w:ascii="Arial" w:hAnsi="Arial" w:cs="Arial"/>
          <w:sz w:val="22"/>
          <w:szCs w:val="22"/>
        </w:rPr>
        <w:t xml:space="preserve">the </w:t>
      </w:r>
      <w:r w:rsidRPr="006173AE">
        <w:rPr>
          <w:rFonts w:ascii="Arial" w:hAnsi="Arial" w:cs="Arial"/>
          <w:sz w:val="22"/>
          <w:szCs w:val="22"/>
        </w:rPr>
        <w:t>FWC to balance economic</w:t>
      </w:r>
      <w:r w:rsidR="002366F9" w:rsidRPr="006173AE">
        <w:rPr>
          <w:rFonts w:ascii="Arial" w:hAnsi="Arial" w:cs="Arial"/>
          <w:sz w:val="22"/>
          <w:szCs w:val="22"/>
        </w:rPr>
        <w:t xml:space="preserve"> and</w:t>
      </w:r>
      <w:r w:rsidRPr="006173AE">
        <w:rPr>
          <w:rFonts w:ascii="Arial" w:hAnsi="Arial" w:cs="Arial"/>
          <w:sz w:val="22"/>
          <w:szCs w:val="22"/>
        </w:rPr>
        <w:t xml:space="preserve"> social</w:t>
      </w:r>
      <w:r w:rsidR="00AD033A" w:rsidRPr="00AD033A">
        <w:rPr>
          <w:rFonts w:ascii="Arial" w:hAnsi="Arial" w:cs="Arial"/>
          <w:sz w:val="22"/>
          <w:szCs w:val="22"/>
        </w:rPr>
        <w:t xml:space="preserve"> </w:t>
      </w:r>
      <w:r w:rsidR="00AD033A">
        <w:rPr>
          <w:rFonts w:ascii="Arial" w:hAnsi="Arial" w:cs="Arial"/>
          <w:sz w:val="22"/>
          <w:szCs w:val="22"/>
        </w:rPr>
        <w:t>issues</w:t>
      </w:r>
      <w:r w:rsidR="002366F9" w:rsidRPr="006173AE">
        <w:rPr>
          <w:rFonts w:ascii="Arial" w:hAnsi="Arial" w:cs="Arial"/>
          <w:sz w:val="22"/>
          <w:szCs w:val="22"/>
        </w:rPr>
        <w:t>, as well as to take</w:t>
      </w:r>
      <w:r w:rsidR="00DD713A">
        <w:rPr>
          <w:rFonts w:ascii="Arial" w:hAnsi="Arial" w:cs="Arial"/>
          <w:sz w:val="22"/>
          <w:szCs w:val="22"/>
        </w:rPr>
        <w:t xml:space="preserve"> </w:t>
      </w:r>
      <w:r w:rsidR="002366F9" w:rsidRPr="006173AE">
        <w:rPr>
          <w:rFonts w:ascii="Arial" w:hAnsi="Arial" w:cs="Arial"/>
          <w:sz w:val="22"/>
          <w:szCs w:val="22"/>
        </w:rPr>
        <w:t>account</w:t>
      </w:r>
      <w:r w:rsidR="00DD713A">
        <w:rPr>
          <w:rFonts w:ascii="Arial" w:hAnsi="Arial" w:cs="Arial"/>
          <w:sz w:val="22"/>
          <w:szCs w:val="22"/>
        </w:rPr>
        <w:t xml:space="preserve"> of</w:t>
      </w:r>
      <w:r w:rsidR="002366F9" w:rsidRPr="006173AE">
        <w:rPr>
          <w:rFonts w:ascii="Arial" w:hAnsi="Arial" w:cs="Arial"/>
          <w:sz w:val="22"/>
          <w:szCs w:val="22"/>
        </w:rPr>
        <w:t xml:space="preserve"> the needs of the low paid, amongst other factors, in making determinations on minimum wages. The Queensland Government submits that this requirement signifies a focus on social factors </w:t>
      </w:r>
      <w:r w:rsidR="00016807">
        <w:rPr>
          <w:rFonts w:ascii="Arial" w:hAnsi="Arial" w:cs="Arial"/>
          <w:sz w:val="22"/>
          <w:szCs w:val="22"/>
        </w:rPr>
        <w:t xml:space="preserve">being </w:t>
      </w:r>
      <w:r w:rsidR="002366F9" w:rsidRPr="006173AE">
        <w:rPr>
          <w:rFonts w:ascii="Arial" w:hAnsi="Arial" w:cs="Arial"/>
          <w:sz w:val="22"/>
          <w:szCs w:val="22"/>
        </w:rPr>
        <w:t xml:space="preserve">equally </w:t>
      </w:r>
      <w:r w:rsidR="00016807">
        <w:rPr>
          <w:rFonts w:ascii="Arial" w:hAnsi="Arial" w:cs="Arial"/>
          <w:sz w:val="22"/>
          <w:szCs w:val="22"/>
        </w:rPr>
        <w:t xml:space="preserve">as </w:t>
      </w:r>
      <w:r w:rsidR="002366F9" w:rsidRPr="006173AE">
        <w:rPr>
          <w:rFonts w:ascii="Arial" w:hAnsi="Arial" w:cs="Arial"/>
          <w:sz w:val="22"/>
          <w:szCs w:val="22"/>
        </w:rPr>
        <w:t>important as economic factors in the creation of a fair safety net.</w:t>
      </w:r>
      <w:r w:rsidR="002366F9" w:rsidRPr="006173AE">
        <w:rPr>
          <w:rFonts w:ascii="Arial" w:hAnsi="Arial" w:cs="Arial"/>
          <w:b/>
          <w:sz w:val="22"/>
          <w:szCs w:val="22"/>
        </w:rPr>
        <w:t xml:space="preserve">  </w:t>
      </w:r>
      <w:r w:rsidRPr="006173AE">
        <w:rPr>
          <w:rFonts w:ascii="Arial" w:hAnsi="Arial" w:cs="Arial"/>
          <w:b/>
          <w:sz w:val="22"/>
          <w:szCs w:val="22"/>
        </w:rPr>
        <w:t xml:space="preserve"> </w:t>
      </w:r>
    </w:p>
    <w:p w14:paraId="493ECAB1" w14:textId="280F33EC" w:rsidR="00F57E8A" w:rsidRPr="002071C3" w:rsidRDefault="00D16848" w:rsidP="002071C3">
      <w:pPr>
        <w:spacing w:line="360" w:lineRule="auto"/>
        <w:jc w:val="both"/>
        <w:rPr>
          <w:rFonts w:ascii="Arial" w:hAnsi="Arial" w:cs="Arial"/>
          <w:bCs/>
        </w:rPr>
      </w:pPr>
      <w:r w:rsidRPr="00151D1D">
        <w:rPr>
          <w:rFonts w:ascii="Arial" w:hAnsi="Arial" w:cs="Arial"/>
          <w:sz w:val="22"/>
          <w:szCs w:val="22"/>
        </w:rPr>
        <w:t xml:space="preserve">The abovementioned objectives, taken together, imply that when determining minimum wages, the Panel is bound to ensure a wage outcome consistent with strong economic performance, </w:t>
      </w:r>
      <w:r w:rsidR="000D51BF" w:rsidRPr="00151D1D">
        <w:rPr>
          <w:rFonts w:ascii="Arial" w:hAnsi="Arial" w:cs="Arial"/>
          <w:sz w:val="22"/>
          <w:szCs w:val="22"/>
        </w:rPr>
        <w:t xml:space="preserve">while at the same time providing </w:t>
      </w:r>
      <w:r w:rsidRPr="00151D1D">
        <w:rPr>
          <w:rFonts w:ascii="Arial" w:hAnsi="Arial" w:cs="Arial"/>
          <w:sz w:val="22"/>
          <w:szCs w:val="22"/>
        </w:rPr>
        <w:t xml:space="preserve">a </w:t>
      </w:r>
      <w:r w:rsidR="0064011E" w:rsidRPr="00151D1D">
        <w:rPr>
          <w:rFonts w:ascii="Arial" w:hAnsi="Arial" w:cs="Arial"/>
          <w:sz w:val="22"/>
          <w:szCs w:val="22"/>
        </w:rPr>
        <w:t xml:space="preserve">fair and relevant </w:t>
      </w:r>
      <w:r w:rsidRPr="00151D1D">
        <w:rPr>
          <w:rFonts w:ascii="Arial" w:hAnsi="Arial" w:cs="Arial"/>
          <w:sz w:val="22"/>
          <w:szCs w:val="22"/>
        </w:rPr>
        <w:t xml:space="preserve">minimum wage safety net that ensures </w:t>
      </w:r>
      <w:r w:rsidR="0064011E" w:rsidRPr="00151D1D">
        <w:rPr>
          <w:rFonts w:ascii="Arial" w:hAnsi="Arial" w:cs="Arial"/>
          <w:sz w:val="22"/>
          <w:szCs w:val="22"/>
        </w:rPr>
        <w:t>a decent standard of living for full-time adult employees</w:t>
      </w:r>
      <w:r w:rsidR="00C83BCA" w:rsidRPr="00151D1D">
        <w:rPr>
          <w:rFonts w:ascii="Arial" w:hAnsi="Arial" w:cs="Arial"/>
          <w:sz w:val="22"/>
          <w:szCs w:val="22"/>
        </w:rPr>
        <w:t xml:space="preserve"> and that </w:t>
      </w:r>
      <w:r w:rsidRPr="00151D1D">
        <w:rPr>
          <w:rFonts w:ascii="Arial" w:hAnsi="Arial" w:cs="Arial"/>
          <w:sz w:val="22"/>
          <w:szCs w:val="22"/>
        </w:rPr>
        <w:t>those with limited access to wage bargaining are not left behind</w:t>
      </w:r>
      <w:r w:rsidR="000D51BF" w:rsidRPr="00151D1D">
        <w:rPr>
          <w:rFonts w:ascii="Arial" w:hAnsi="Arial" w:cs="Arial"/>
          <w:sz w:val="22"/>
          <w:szCs w:val="22"/>
        </w:rPr>
        <w:t>.</w:t>
      </w:r>
      <w:r w:rsidR="00F57E8A" w:rsidRPr="00151D1D">
        <w:rPr>
          <w:rFonts w:ascii="Arial" w:hAnsi="Arial" w:cs="Arial"/>
          <w:bCs/>
          <w:sz w:val="22"/>
          <w:szCs w:val="22"/>
        </w:rPr>
        <w:t xml:space="preserve"> This is a particularly important consideration for low-paid workers who rely on the </w:t>
      </w:r>
      <w:r w:rsidR="00F57E8A">
        <w:rPr>
          <w:rFonts w:ascii="Arial" w:hAnsi="Arial" w:cs="Arial"/>
          <w:bCs/>
          <w:sz w:val="22"/>
          <w:szCs w:val="22"/>
        </w:rPr>
        <w:t xml:space="preserve">annual wage review </w:t>
      </w:r>
      <w:r w:rsidR="00F57E8A" w:rsidRPr="00151D1D">
        <w:rPr>
          <w:rFonts w:ascii="Arial" w:hAnsi="Arial" w:cs="Arial"/>
          <w:bCs/>
          <w:sz w:val="22"/>
          <w:szCs w:val="22"/>
        </w:rPr>
        <w:t xml:space="preserve">for </w:t>
      </w:r>
      <w:r w:rsidR="00AD568C">
        <w:rPr>
          <w:rFonts w:ascii="Arial" w:hAnsi="Arial" w:cs="Arial"/>
          <w:bCs/>
          <w:sz w:val="22"/>
          <w:szCs w:val="22"/>
        </w:rPr>
        <w:t xml:space="preserve">an </w:t>
      </w:r>
      <w:r w:rsidR="00F57E8A" w:rsidRPr="00151D1D">
        <w:rPr>
          <w:rFonts w:ascii="Arial" w:hAnsi="Arial" w:cs="Arial"/>
          <w:bCs/>
          <w:sz w:val="22"/>
          <w:szCs w:val="22"/>
        </w:rPr>
        <w:t xml:space="preserve">annual wage increase.  </w:t>
      </w:r>
    </w:p>
    <w:p w14:paraId="1C267377" w14:textId="777C29F2" w:rsidR="000D51BF" w:rsidRPr="006173AE" w:rsidRDefault="000D51BF" w:rsidP="00B00A90">
      <w:pPr>
        <w:spacing w:before="240" w:after="240" w:line="360" w:lineRule="auto"/>
        <w:jc w:val="both"/>
        <w:rPr>
          <w:rFonts w:ascii="Arial" w:hAnsi="Arial" w:cs="Arial"/>
          <w:sz w:val="22"/>
          <w:szCs w:val="22"/>
        </w:rPr>
      </w:pPr>
      <w:r w:rsidRPr="006173AE">
        <w:rPr>
          <w:rFonts w:ascii="Arial" w:hAnsi="Arial" w:cs="Arial"/>
          <w:sz w:val="22"/>
          <w:szCs w:val="22"/>
        </w:rPr>
        <w:t xml:space="preserve">In this context, the Queensland Government notes that the minimum wages objective requires the FWC to </w:t>
      </w:r>
      <w:r w:rsidR="00DD713A" w:rsidRPr="006173AE">
        <w:rPr>
          <w:rFonts w:ascii="Arial" w:hAnsi="Arial" w:cs="Arial"/>
          <w:sz w:val="22"/>
          <w:szCs w:val="22"/>
        </w:rPr>
        <w:t>consider</w:t>
      </w:r>
      <w:r w:rsidR="009D78FF">
        <w:rPr>
          <w:rFonts w:ascii="Arial" w:hAnsi="Arial" w:cs="Arial"/>
          <w:sz w:val="22"/>
          <w:szCs w:val="22"/>
        </w:rPr>
        <w:t xml:space="preserve"> </w:t>
      </w:r>
      <w:r w:rsidR="009D78FF" w:rsidRPr="006173AE">
        <w:rPr>
          <w:rFonts w:ascii="Arial" w:hAnsi="Arial" w:cs="Arial"/>
          <w:sz w:val="22"/>
          <w:szCs w:val="22"/>
        </w:rPr>
        <w:t>relative living standards</w:t>
      </w:r>
      <w:r w:rsidR="009D78FF">
        <w:rPr>
          <w:rFonts w:ascii="Arial" w:hAnsi="Arial" w:cs="Arial"/>
          <w:sz w:val="22"/>
          <w:szCs w:val="22"/>
        </w:rPr>
        <w:t xml:space="preserve"> and the needs of the low paid</w:t>
      </w:r>
      <w:r w:rsidR="009D78FF" w:rsidRPr="006173AE">
        <w:rPr>
          <w:rFonts w:ascii="Arial" w:hAnsi="Arial" w:cs="Arial"/>
          <w:sz w:val="22"/>
          <w:szCs w:val="22"/>
        </w:rPr>
        <w:t xml:space="preserve">, the principle of equal remuneration for equal work, </w:t>
      </w:r>
      <w:r w:rsidR="002153D6">
        <w:rPr>
          <w:rFonts w:ascii="Arial" w:hAnsi="Arial" w:cs="Arial"/>
          <w:sz w:val="22"/>
          <w:szCs w:val="22"/>
        </w:rPr>
        <w:t xml:space="preserve">the </w:t>
      </w:r>
      <w:r w:rsidR="002153D6" w:rsidRPr="006173AE">
        <w:rPr>
          <w:rFonts w:ascii="Arial" w:hAnsi="Arial" w:cs="Arial"/>
          <w:sz w:val="22"/>
          <w:szCs w:val="22"/>
        </w:rPr>
        <w:t>promoti</w:t>
      </w:r>
      <w:r w:rsidR="002153D6">
        <w:rPr>
          <w:rFonts w:ascii="Arial" w:hAnsi="Arial" w:cs="Arial"/>
          <w:sz w:val="22"/>
          <w:szCs w:val="22"/>
        </w:rPr>
        <w:t>o</w:t>
      </w:r>
      <w:r w:rsidR="002153D6" w:rsidRPr="006173AE">
        <w:rPr>
          <w:rFonts w:ascii="Arial" w:hAnsi="Arial" w:cs="Arial"/>
          <w:sz w:val="22"/>
          <w:szCs w:val="22"/>
        </w:rPr>
        <w:t>n</w:t>
      </w:r>
      <w:r w:rsidR="002153D6">
        <w:rPr>
          <w:rFonts w:ascii="Arial" w:hAnsi="Arial" w:cs="Arial"/>
          <w:sz w:val="22"/>
          <w:szCs w:val="22"/>
        </w:rPr>
        <w:t xml:space="preserve"> of</w:t>
      </w:r>
      <w:r w:rsidR="002153D6" w:rsidRPr="006173AE">
        <w:rPr>
          <w:rFonts w:ascii="Arial" w:hAnsi="Arial" w:cs="Arial"/>
          <w:sz w:val="22"/>
          <w:szCs w:val="22"/>
        </w:rPr>
        <w:t xml:space="preserve"> social inclusion through in</w:t>
      </w:r>
      <w:r w:rsidR="002153D6">
        <w:rPr>
          <w:rFonts w:ascii="Arial" w:hAnsi="Arial" w:cs="Arial"/>
          <w:sz w:val="22"/>
          <w:szCs w:val="22"/>
        </w:rPr>
        <w:t>creased workforce participation,</w:t>
      </w:r>
      <w:r w:rsidR="002153D6" w:rsidRPr="006173AE">
        <w:rPr>
          <w:rFonts w:ascii="Arial" w:hAnsi="Arial" w:cs="Arial"/>
          <w:sz w:val="22"/>
          <w:szCs w:val="22"/>
        </w:rPr>
        <w:t xml:space="preserve"> </w:t>
      </w:r>
      <w:r w:rsidR="002153D6">
        <w:rPr>
          <w:rFonts w:ascii="Arial" w:hAnsi="Arial" w:cs="Arial"/>
          <w:sz w:val="22"/>
          <w:szCs w:val="22"/>
        </w:rPr>
        <w:t>the provision of</w:t>
      </w:r>
      <w:r w:rsidR="009D78FF">
        <w:rPr>
          <w:rFonts w:ascii="Arial" w:hAnsi="Arial" w:cs="Arial"/>
          <w:sz w:val="22"/>
          <w:szCs w:val="22"/>
        </w:rPr>
        <w:t xml:space="preserve"> </w:t>
      </w:r>
      <w:r w:rsidR="009D78FF" w:rsidRPr="006173AE">
        <w:rPr>
          <w:rFonts w:ascii="Arial" w:hAnsi="Arial" w:cs="Arial"/>
          <w:sz w:val="22"/>
          <w:szCs w:val="22"/>
        </w:rPr>
        <w:t>a comprehensive range of fair minimum wages</w:t>
      </w:r>
      <w:r w:rsidR="009D78FF">
        <w:rPr>
          <w:rFonts w:ascii="Arial" w:hAnsi="Arial" w:cs="Arial"/>
          <w:sz w:val="22"/>
          <w:szCs w:val="22"/>
        </w:rPr>
        <w:t xml:space="preserve"> for certain junior employees and those with a disability, as well as</w:t>
      </w:r>
      <w:r w:rsidRPr="006173AE">
        <w:rPr>
          <w:rFonts w:ascii="Arial" w:hAnsi="Arial" w:cs="Arial"/>
          <w:sz w:val="22"/>
          <w:szCs w:val="22"/>
        </w:rPr>
        <w:t xml:space="preserve"> the performance and competit</w:t>
      </w:r>
      <w:r w:rsidR="00D45BA9">
        <w:rPr>
          <w:rFonts w:ascii="Arial" w:hAnsi="Arial" w:cs="Arial"/>
          <w:sz w:val="22"/>
          <w:szCs w:val="22"/>
        </w:rPr>
        <w:t>iveness of the national economy</w:t>
      </w:r>
      <w:r w:rsidRPr="006173AE">
        <w:rPr>
          <w:rFonts w:ascii="Arial" w:hAnsi="Arial" w:cs="Arial"/>
          <w:sz w:val="22"/>
          <w:szCs w:val="22"/>
        </w:rPr>
        <w:t>.</w:t>
      </w:r>
      <w:r w:rsidR="00B9207E">
        <w:rPr>
          <w:rStyle w:val="FootnoteReference"/>
          <w:rFonts w:ascii="Arial" w:hAnsi="Arial" w:cs="Arial"/>
          <w:sz w:val="22"/>
          <w:szCs w:val="22"/>
        </w:rPr>
        <w:footnoteReference w:id="8"/>
      </w:r>
    </w:p>
    <w:p w14:paraId="0A286A76" w14:textId="77777777" w:rsidR="00F54DDF" w:rsidRPr="00BA3E2A" w:rsidRDefault="00F54DDF" w:rsidP="00F54DDF">
      <w:pPr>
        <w:pStyle w:val="Heading3"/>
        <w:spacing w:after="120"/>
        <w:rPr>
          <w:rFonts w:eastAsiaTheme="majorEastAsia"/>
          <w:b w:val="0"/>
          <w:bCs w:val="0"/>
          <w:color w:val="7B230B" w:themeColor="accent1" w:themeShade="BF"/>
          <w:sz w:val="28"/>
          <w:szCs w:val="28"/>
          <w:lang w:eastAsia="en-US"/>
        </w:rPr>
      </w:pPr>
      <w:bookmarkStart w:id="5" w:name="_Toc288053386"/>
      <w:bookmarkStart w:id="6" w:name="_Toc411933291"/>
      <w:bookmarkStart w:id="7" w:name="_Toc442256136"/>
      <w:bookmarkStart w:id="8" w:name="_Toc2688644"/>
      <w:r w:rsidRPr="00BA3E2A">
        <w:rPr>
          <w:rFonts w:eastAsiaTheme="majorEastAsia"/>
          <w:b w:val="0"/>
          <w:bCs w:val="0"/>
          <w:color w:val="7B230B" w:themeColor="accent1" w:themeShade="BF"/>
          <w:sz w:val="28"/>
          <w:szCs w:val="28"/>
          <w:lang w:eastAsia="en-US"/>
        </w:rPr>
        <w:t xml:space="preserve">Number of </w:t>
      </w:r>
      <w:r w:rsidR="00386486" w:rsidRPr="00BA3E2A">
        <w:rPr>
          <w:rFonts w:eastAsiaTheme="majorEastAsia"/>
          <w:b w:val="0"/>
          <w:bCs w:val="0"/>
          <w:color w:val="7B230B" w:themeColor="accent1" w:themeShade="BF"/>
          <w:sz w:val="28"/>
          <w:szCs w:val="28"/>
          <w:lang w:eastAsia="en-US"/>
        </w:rPr>
        <w:t xml:space="preserve">Queensland </w:t>
      </w:r>
      <w:r w:rsidR="00447254" w:rsidRPr="00BA3E2A">
        <w:rPr>
          <w:rFonts w:eastAsiaTheme="majorEastAsia"/>
          <w:b w:val="0"/>
          <w:bCs w:val="0"/>
          <w:color w:val="7B230B" w:themeColor="accent1" w:themeShade="BF"/>
          <w:sz w:val="28"/>
          <w:szCs w:val="28"/>
          <w:lang w:eastAsia="en-US"/>
        </w:rPr>
        <w:t>e</w:t>
      </w:r>
      <w:r w:rsidRPr="00BA3E2A">
        <w:rPr>
          <w:rFonts w:eastAsiaTheme="majorEastAsia"/>
          <w:b w:val="0"/>
          <w:bCs w:val="0"/>
          <w:color w:val="7B230B" w:themeColor="accent1" w:themeShade="BF"/>
          <w:sz w:val="28"/>
          <w:szCs w:val="28"/>
          <w:lang w:eastAsia="en-US"/>
        </w:rPr>
        <w:t xml:space="preserve">mployees </w:t>
      </w:r>
      <w:r w:rsidR="00386486" w:rsidRPr="00BA3E2A">
        <w:rPr>
          <w:rFonts w:eastAsiaTheme="majorEastAsia"/>
          <w:b w:val="0"/>
          <w:bCs w:val="0"/>
          <w:color w:val="7B230B" w:themeColor="accent1" w:themeShade="BF"/>
          <w:sz w:val="28"/>
          <w:szCs w:val="28"/>
          <w:lang w:eastAsia="en-US"/>
        </w:rPr>
        <w:t>subject to the</w:t>
      </w:r>
      <w:r w:rsidR="004E047B" w:rsidRPr="00BA3E2A">
        <w:rPr>
          <w:rFonts w:eastAsiaTheme="majorEastAsia"/>
          <w:b w:val="0"/>
          <w:bCs w:val="0"/>
          <w:color w:val="7B230B" w:themeColor="accent1" w:themeShade="BF"/>
          <w:sz w:val="28"/>
          <w:szCs w:val="28"/>
          <w:lang w:eastAsia="en-US"/>
        </w:rPr>
        <w:t xml:space="preserve"> NMW and</w:t>
      </w:r>
      <w:r w:rsidR="00386486" w:rsidRPr="00BA3E2A">
        <w:rPr>
          <w:rFonts w:eastAsiaTheme="majorEastAsia"/>
          <w:b w:val="0"/>
          <w:bCs w:val="0"/>
          <w:color w:val="7B230B" w:themeColor="accent1" w:themeShade="BF"/>
          <w:sz w:val="28"/>
          <w:szCs w:val="28"/>
          <w:lang w:eastAsia="en-US"/>
        </w:rPr>
        <w:t xml:space="preserve"> </w:t>
      </w:r>
      <w:bookmarkEnd w:id="5"/>
      <w:bookmarkEnd w:id="6"/>
      <w:bookmarkEnd w:id="7"/>
      <w:r w:rsidR="00447254" w:rsidRPr="00BA3E2A">
        <w:rPr>
          <w:rFonts w:eastAsiaTheme="majorEastAsia"/>
          <w:b w:val="0"/>
          <w:bCs w:val="0"/>
          <w:color w:val="7B230B" w:themeColor="accent1" w:themeShade="BF"/>
          <w:sz w:val="28"/>
          <w:szCs w:val="28"/>
          <w:lang w:eastAsia="en-US"/>
        </w:rPr>
        <w:t>a</w:t>
      </w:r>
      <w:r w:rsidR="00A71FAC" w:rsidRPr="00BA3E2A">
        <w:rPr>
          <w:rFonts w:eastAsiaTheme="majorEastAsia"/>
          <w:b w:val="0"/>
          <w:bCs w:val="0"/>
          <w:color w:val="7B230B" w:themeColor="accent1" w:themeShade="BF"/>
          <w:sz w:val="28"/>
          <w:szCs w:val="28"/>
          <w:lang w:eastAsia="en-US"/>
        </w:rPr>
        <w:t>ward rates</w:t>
      </w:r>
      <w:bookmarkEnd w:id="8"/>
      <w:r w:rsidR="008E4CB2" w:rsidRPr="00BA3E2A">
        <w:rPr>
          <w:rFonts w:eastAsiaTheme="majorEastAsia"/>
          <w:b w:val="0"/>
          <w:bCs w:val="0"/>
          <w:color w:val="7B230B" w:themeColor="accent1" w:themeShade="BF"/>
          <w:sz w:val="28"/>
          <w:szCs w:val="28"/>
          <w:lang w:eastAsia="en-US"/>
        </w:rPr>
        <w:t xml:space="preserve"> </w:t>
      </w:r>
    </w:p>
    <w:p w14:paraId="4B88D642" w14:textId="595F788C" w:rsidR="00095296" w:rsidRPr="007E7A4A" w:rsidRDefault="00F54DDF" w:rsidP="00CF02D7">
      <w:pPr>
        <w:pStyle w:val="NWCbodytextArial11ptJustified"/>
      </w:pPr>
      <w:r w:rsidRPr="007E7A4A">
        <w:t xml:space="preserve">The most recent figures </w:t>
      </w:r>
      <w:r w:rsidR="003B29BC" w:rsidRPr="007E7A4A">
        <w:t xml:space="preserve">of award dependency are from </w:t>
      </w:r>
      <w:r w:rsidR="000D51BF" w:rsidRPr="007E7A4A">
        <w:t xml:space="preserve">May </w:t>
      </w:r>
      <w:r w:rsidR="003B29BC" w:rsidRPr="007E7A4A">
        <w:t>201</w:t>
      </w:r>
      <w:r w:rsidR="002810F6" w:rsidRPr="007E7A4A">
        <w:t>8</w:t>
      </w:r>
      <w:r w:rsidRPr="007E7A4A">
        <w:rPr>
          <w:rStyle w:val="FootnoteReference"/>
          <w:b/>
        </w:rPr>
        <w:footnoteReference w:id="9"/>
      </w:r>
      <w:r w:rsidRPr="007E7A4A">
        <w:t>. At that time</w:t>
      </w:r>
      <w:r w:rsidR="000D51BF" w:rsidRPr="007E7A4A">
        <w:t>, of the</w:t>
      </w:r>
      <w:r w:rsidRPr="007E7A4A">
        <w:t xml:space="preserve"> </w:t>
      </w:r>
      <w:r w:rsidR="003B29BC" w:rsidRPr="007E7A4A">
        <w:t>9,</w:t>
      </w:r>
      <w:r w:rsidR="0044459A" w:rsidRPr="007E7A4A">
        <w:t>916</w:t>
      </w:r>
      <w:r w:rsidR="003B29BC" w:rsidRPr="007E7A4A">
        <w:t>,</w:t>
      </w:r>
      <w:r w:rsidR="0044459A" w:rsidRPr="007E7A4A">
        <w:t>5</w:t>
      </w:r>
      <w:r w:rsidR="003B29BC" w:rsidRPr="007E7A4A">
        <w:t xml:space="preserve">00 </w:t>
      </w:r>
      <w:r w:rsidR="005D1DB1" w:rsidRPr="007E7A4A">
        <w:t xml:space="preserve">non-managerial </w:t>
      </w:r>
      <w:r w:rsidR="003B29BC" w:rsidRPr="007E7A4A">
        <w:t xml:space="preserve">employees </w:t>
      </w:r>
      <w:r w:rsidR="000D51BF" w:rsidRPr="007E7A4A">
        <w:t>in Australia,</w:t>
      </w:r>
      <w:r w:rsidRPr="007E7A4A">
        <w:t xml:space="preserve"> </w:t>
      </w:r>
      <w:r w:rsidR="005D1DB1" w:rsidRPr="007E7A4A">
        <w:t>2</w:t>
      </w:r>
      <w:r w:rsidRPr="007E7A4A">
        <w:t>,</w:t>
      </w:r>
      <w:r w:rsidR="005D1DB1" w:rsidRPr="007E7A4A">
        <w:t>2</w:t>
      </w:r>
      <w:r w:rsidR="008A3436" w:rsidRPr="007E7A4A">
        <w:t>32</w:t>
      </w:r>
      <w:r w:rsidRPr="007E7A4A">
        <w:t>,</w:t>
      </w:r>
      <w:r w:rsidR="008A3436" w:rsidRPr="007E7A4A">
        <w:t>9</w:t>
      </w:r>
      <w:r w:rsidR="003B29BC" w:rsidRPr="007E7A4A">
        <w:t>00</w:t>
      </w:r>
      <w:r w:rsidR="000D51BF" w:rsidRPr="007E7A4A">
        <w:t xml:space="preserve"> or </w:t>
      </w:r>
      <w:r w:rsidR="005D1DB1" w:rsidRPr="007E7A4A">
        <w:t>2</w:t>
      </w:r>
      <w:r w:rsidR="008A3436" w:rsidRPr="007E7A4A">
        <w:t>2</w:t>
      </w:r>
      <w:r w:rsidR="005D1DB1" w:rsidRPr="007E7A4A">
        <w:t>.5</w:t>
      </w:r>
      <w:r w:rsidR="008A3436" w:rsidRPr="007E7A4A">
        <w:t>2</w:t>
      </w:r>
      <w:r w:rsidR="000D51BF" w:rsidRPr="007E7A4A">
        <w:t xml:space="preserve">% </w:t>
      </w:r>
      <w:r w:rsidRPr="007E7A4A">
        <w:t xml:space="preserve">were award reliant. </w:t>
      </w:r>
      <w:r w:rsidR="003B29BC" w:rsidRPr="007E7A4A">
        <w:t>Queensland</w:t>
      </w:r>
      <w:r w:rsidR="00DB777F" w:rsidRPr="007E7A4A">
        <w:t xml:space="preserve"> had a</w:t>
      </w:r>
      <w:r w:rsidR="00AD568C" w:rsidRPr="007E7A4A">
        <w:t xml:space="preserve"> similar proportion </w:t>
      </w:r>
      <w:r w:rsidR="00DD713A" w:rsidRPr="007E7A4A">
        <w:t>of award-reliant employees i.e.</w:t>
      </w:r>
      <w:r w:rsidR="00DB777F" w:rsidRPr="007E7A4A">
        <w:t xml:space="preserve"> of an estimated 1,</w:t>
      </w:r>
      <w:r w:rsidR="00AB7D82" w:rsidRPr="007E7A4A">
        <w:t>905</w:t>
      </w:r>
      <w:r w:rsidR="00DB777F" w:rsidRPr="007E7A4A">
        <w:t>,</w:t>
      </w:r>
      <w:r w:rsidR="00AB7D82" w:rsidRPr="007E7A4A">
        <w:t>0</w:t>
      </w:r>
      <w:r w:rsidR="00DB777F" w:rsidRPr="007E7A4A">
        <w:t xml:space="preserve">00 </w:t>
      </w:r>
      <w:r w:rsidR="005D1DB1" w:rsidRPr="007E7A4A">
        <w:t xml:space="preserve">non-managerial </w:t>
      </w:r>
      <w:r w:rsidR="00DB777F" w:rsidRPr="007E7A4A">
        <w:t>employees, 4</w:t>
      </w:r>
      <w:r w:rsidR="00AD290B" w:rsidRPr="007E7A4A">
        <w:t>26</w:t>
      </w:r>
      <w:r w:rsidR="00DB777F" w:rsidRPr="007E7A4A">
        <w:t>,700 or 2</w:t>
      </w:r>
      <w:r w:rsidR="00F73B3F" w:rsidRPr="007E7A4A">
        <w:t>2</w:t>
      </w:r>
      <w:r w:rsidR="00DB777F" w:rsidRPr="007E7A4A">
        <w:t>.</w:t>
      </w:r>
      <w:r w:rsidR="00F73B3F" w:rsidRPr="007E7A4A">
        <w:t>40</w:t>
      </w:r>
      <w:r w:rsidR="00DB777F" w:rsidRPr="007E7A4A">
        <w:t xml:space="preserve">% </w:t>
      </w:r>
      <w:r w:rsidRPr="007E7A4A">
        <w:t>were award reliant.</w:t>
      </w:r>
      <w:r w:rsidR="008F62EE" w:rsidRPr="007E7A4A">
        <w:t xml:space="preserve"> </w:t>
      </w:r>
    </w:p>
    <w:p w14:paraId="5B906DF4" w14:textId="419D5E88" w:rsidR="00DB777F" w:rsidRPr="007E7A4A" w:rsidRDefault="00AD568C" w:rsidP="00CF02D7">
      <w:pPr>
        <w:pStyle w:val="NWCbodytextArial11ptJustified"/>
      </w:pPr>
      <w:r w:rsidRPr="007E7A4A">
        <w:t xml:space="preserve">Significantly, </w:t>
      </w:r>
      <w:r w:rsidR="00DB777F" w:rsidRPr="007E7A4A">
        <w:t xml:space="preserve">Queensland’s award-reliant </w:t>
      </w:r>
      <w:r w:rsidR="00EB1B2E" w:rsidRPr="007E7A4A">
        <w:t xml:space="preserve">non-managerial </w:t>
      </w:r>
      <w:r w:rsidR="00DD713A" w:rsidRPr="007E7A4A">
        <w:t xml:space="preserve">employees </w:t>
      </w:r>
      <w:r w:rsidRPr="007E7A4A">
        <w:t xml:space="preserve">are paid </w:t>
      </w:r>
      <w:r w:rsidR="00DD713A" w:rsidRPr="007E7A4A">
        <w:t xml:space="preserve">$724.60 per week </w:t>
      </w:r>
      <w:r w:rsidRPr="007E7A4A">
        <w:t xml:space="preserve">on average </w:t>
      </w:r>
      <w:r w:rsidR="00EB1B2E" w:rsidRPr="007E7A4A">
        <w:t>compared to the national average at $</w:t>
      </w:r>
      <w:r w:rsidR="00C22CD0" w:rsidRPr="007E7A4A">
        <w:t>787</w:t>
      </w:r>
      <w:r w:rsidR="00EB1B2E" w:rsidRPr="007E7A4A">
        <w:t>.</w:t>
      </w:r>
      <w:r w:rsidR="00C22CD0" w:rsidRPr="007E7A4A">
        <w:t>7</w:t>
      </w:r>
      <w:r w:rsidR="00EB1B2E" w:rsidRPr="007E7A4A">
        <w:t>0</w:t>
      </w:r>
      <w:r w:rsidR="00DD713A" w:rsidRPr="007E7A4A">
        <w:t xml:space="preserve"> per week</w:t>
      </w:r>
      <w:r w:rsidR="00DB777F" w:rsidRPr="007E7A4A">
        <w:t>.</w:t>
      </w:r>
    </w:p>
    <w:p w14:paraId="4ED70A86" w14:textId="47A47DDA" w:rsidR="008E0509" w:rsidRPr="007E7A4A" w:rsidRDefault="008E0509" w:rsidP="00CF02D7">
      <w:pPr>
        <w:pStyle w:val="NWCbodytextArial11ptJustified"/>
      </w:pPr>
      <w:r w:rsidRPr="007E7A4A">
        <w:t>Given Queensland</w:t>
      </w:r>
      <w:r w:rsidR="00AD568C" w:rsidRPr="007E7A4A">
        <w:t xml:space="preserve">’s </w:t>
      </w:r>
      <w:r w:rsidRPr="007E7A4A">
        <w:t>proportion of award-reliant employees</w:t>
      </w:r>
      <w:r w:rsidR="00DD713A" w:rsidRPr="007E7A4A">
        <w:t>,</w:t>
      </w:r>
      <w:r w:rsidRPr="007E7A4A">
        <w:t xml:space="preserve"> and that Queensland’s award-reliant employees also have the lowest rate of pay</w:t>
      </w:r>
      <w:r w:rsidR="007E7A4A" w:rsidRPr="007E7A4A">
        <w:t>, on average,</w:t>
      </w:r>
      <w:r w:rsidRPr="007E7A4A">
        <w:t xml:space="preserve"> in both absolute and relative terms of any state, the relationship between award reliance and low pay is particularly significant to Queensland employees</w:t>
      </w:r>
      <w:r w:rsidR="007E7A4A" w:rsidRPr="007E7A4A">
        <w:t xml:space="preserve"> and w</w:t>
      </w:r>
      <w:r w:rsidRPr="007E7A4A">
        <w:t>ith regard to the setting of fair minimum rates of pay.</w:t>
      </w:r>
    </w:p>
    <w:p w14:paraId="2ABB8B33" w14:textId="7C8E2D2C" w:rsidR="00F54DDF" w:rsidRPr="00BA3E2A" w:rsidRDefault="00F54DDF" w:rsidP="00F54DDF">
      <w:pPr>
        <w:pStyle w:val="Heading3"/>
        <w:spacing w:after="120"/>
        <w:rPr>
          <w:rFonts w:eastAsiaTheme="majorEastAsia"/>
          <w:b w:val="0"/>
          <w:bCs w:val="0"/>
          <w:color w:val="7B230B" w:themeColor="accent1" w:themeShade="BF"/>
          <w:sz w:val="28"/>
          <w:szCs w:val="28"/>
          <w:lang w:eastAsia="en-US"/>
        </w:rPr>
      </w:pPr>
      <w:bookmarkStart w:id="9" w:name="_Toc288053387"/>
      <w:bookmarkStart w:id="10" w:name="_Toc411933292"/>
      <w:bookmarkStart w:id="11" w:name="_Toc442256137"/>
      <w:bookmarkStart w:id="12" w:name="_Toc2688645"/>
      <w:r w:rsidRPr="00BA3E2A">
        <w:rPr>
          <w:rFonts w:eastAsiaTheme="majorEastAsia"/>
          <w:b w:val="0"/>
          <w:bCs w:val="0"/>
          <w:color w:val="7B230B" w:themeColor="accent1" w:themeShade="BF"/>
          <w:sz w:val="28"/>
          <w:szCs w:val="28"/>
          <w:lang w:eastAsia="en-US"/>
        </w:rPr>
        <w:t xml:space="preserve">Characteristics of </w:t>
      </w:r>
      <w:r w:rsidR="00013780" w:rsidRPr="00BA3E2A">
        <w:rPr>
          <w:rFonts w:eastAsiaTheme="majorEastAsia"/>
          <w:b w:val="0"/>
          <w:bCs w:val="0"/>
          <w:color w:val="7B230B" w:themeColor="accent1" w:themeShade="BF"/>
          <w:sz w:val="28"/>
          <w:szCs w:val="28"/>
          <w:lang w:eastAsia="en-US"/>
        </w:rPr>
        <w:t xml:space="preserve">Queensland </w:t>
      </w:r>
      <w:r w:rsidR="00447254" w:rsidRPr="00BA3E2A">
        <w:rPr>
          <w:rFonts w:eastAsiaTheme="majorEastAsia"/>
          <w:b w:val="0"/>
          <w:bCs w:val="0"/>
          <w:color w:val="7B230B" w:themeColor="accent1" w:themeShade="BF"/>
          <w:sz w:val="28"/>
          <w:szCs w:val="28"/>
          <w:lang w:eastAsia="en-US"/>
        </w:rPr>
        <w:t>e</w:t>
      </w:r>
      <w:r w:rsidRPr="00BA3E2A">
        <w:rPr>
          <w:rFonts w:eastAsiaTheme="majorEastAsia"/>
          <w:b w:val="0"/>
          <w:bCs w:val="0"/>
          <w:color w:val="7B230B" w:themeColor="accent1" w:themeShade="BF"/>
          <w:sz w:val="28"/>
          <w:szCs w:val="28"/>
          <w:lang w:eastAsia="en-US"/>
        </w:rPr>
        <w:t xml:space="preserve">mployees </w:t>
      </w:r>
      <w:r w:rsidR="00013780" w:rsidRPr="00BA3E2A">
        <w:rPr>
          <w:rFonts w:eastAsiaTheme="majorEastAsia"/>
          <w:b w:val="0"/>
          <w:bCs w:val="0"/>
          <w:color w:val="7B230B" w:themeColor="accent1" w:themeShade="BF"/>
          <w:sz w:val="28"/>
          <w:szCs w:val="28"/>
          <w:lang w:eastAsia="en-US"/>
        </w:rPr>
        <w:t>subject to the</w:t>
      </w:r>
      <w:r w:rsidR="004E047B" w:rsidRPr="00BA3E2A">
        <w:rPr>
          <w:rFonts w:eastAsiaTheme="majorEastAsia"/>
          <w:b w:val="0"/>
          <w:bCs w:val="0"/>
          <w:color w:val="7B230B" w:themeColor="accent1" w:themeShade="BF"/>
          <w:sz w:val="28"/>
          <w:szCs w:val="28"/>
          <w:lang w:eastAsia="en-US"/>
        </w:rPr>
        <w:t xml:space="preserve"> NMW and</w:t>
      </w:r>
      <w:r w:rsidR="00013780" w:rsidRPr="00BA3E2A">
        <w:rPr>
          <w:rFonts w:eastAsiaTheme="majorEastAsia"/>
          <w:b w:val="0"/>
          <w:bCs w:val="0"/>
          <w:color w:val="7B230B" w:themeColor="accent1" w:themeShade="BF"/>
          <w:sz w:val="28"/>
          <w:szCs w:val="28"/>
          <w:lang w:eastAsia="en-US"/>
        </w:rPr>
        <w:t xml:space="preserve"> </w:t>
      </w:r>
      <w:r w:rsidR="00447254" w:rsidRPr="00BA3E2A">
        <w:rPr>
          <w:rFonts w:eastAsiaTheme="majorEastAsia"/>
          <w:b w:val="0"/>
          <w:bCs w:val="0"/>
          <w:color w:val="7B230B" w:themeColor="accent1" w:themeShade="BF"/>
          <w:sz w:val="28"/>
          <w:szCs w:val="28"/>
          <w:lang w:eastAsia="en-US"/>
        </w:rPr>
        <w:t>a</w:t>
      </w:r>
      <w:r w:rsidR="00A71FAC" w:rsidRPr="00BA3E2A">
        <w:rPr>
          <w:rFonts w:eastAsiaTheme="majorEastAsia"/>
          <w:b w:val="0"/>
          <w:bCs w:val="0"/>
          <w:color w:val="7B230B" w:themeColor="accent1" w:themeShade="BF"/>
          <w:sz w:val="28"/>
          <w:szCs w:val="28"/>
          <w:lang w:eastAsia="en-US"/>
        </w:rPr>
        <w:t>ward rates</w:t>
      </w:r>
      <w:bookmarkEnd w:id="9"/>
      <w:bookmarkEnd w:id="10"/>
      <w:bookmarkEnd w:id="11"/>
      <w:bookmarkEnd w:id="12"/>
    </w:p>
    <w:p w14:paraId="77D7F92B" w14:textId="27BDD07F" w:rsidR="003D6339" w:rsidRPr="007E7A4A" w:rsidRDefault="00A73D93" w:rsidP="00CF02D7">
      <w:pPr>
        <w:pStyle w:val="NWCbodytextArial11ptJustified"/>
      </w:pPr>
      <w:r w:rsidRPr="007E7A4A">
        <w:t>O</w:t>
      </w:r>
      <w:r w:rsidR="00C9000D" w:rsidRPr="007E7A4A">
        <w:t xml:space="preserve">f </w:t>
      </w:r>
      <w:r w:rsidRPr="007E7A4A">
        <w:t xml:space="preserve">Queensland’s </w:t>
      </w:r>
      <w:r w:rsidR="00C9000D" w:rsidRPr="007E7A4A">
        <w:t>award-reliant employees</w:t>
      </w:r>
      <w:r w:rsidRPr="007E7A4A">
        <w:t>,</w:t>
      </w:r>
      <w:r w:rsidR="00C9000D" w:rsidRPr="007E7A4A">
        <w:t xml:space="preserve"> </w:t>
      </w:r>
      <w:r w:rsidRPr="007E7A4A">
        <w:t>1</w:t>
      </w:r>
      <w:r w:rsidR="0065727D" w:rsidRPr="007E7A4A">
        <w:t>47</w:t>
      </w:r>
      <w:r w:rsidRPr="007E7A4A">
        <w:t>,</w:t>
      </w:r>
      <w:r w:rsidR="0065727D" w:rsidRPr="007E7A4A">
        <w:t>4</w:t>
      </w:r>
      <w:r w:rsidRPr="007E7A4A">
        <w:t xml:space="preserve">00 </w:t>
      </w:r>
      <w:r w:rsidR="007E7A4A" w:rsidRPr="007E7A4A">
        <w:t>are</w:t>
      </w:r>
      <w:r w:rsidR="00C9000D" w:rsidRPr="007E7A4A">
        <w:t xml:space="preserve"> full-time (non-managerial) employees. </w:t>
      </w:r>
      <w:r w:rsidR="00DB0068" w:rsidRPr="007E7A4A">
        <w:t>This represents 1</w:t>
      </w:r>
      <w:r w:rsidR="00CE17AE" w:rsidRPr="007E7A4A">
        <w:t>3</w:t>
      </w:r>
      <w:r w:rsidR="00DB0068" w:rsidRPr="007E7A4A">
        <w:t>.</w:t>
      </w:r>
      <w:r w:rsidR="00CE17AE" w:rsidRPr="007E7A4A">
        <w:t>0</w:t>
      </w:r>
      <w:r w:rsidR="00DB0068" w:rsidRPr="007E7A4A">
        <w:t>% of all</w:t>
      </w:r>
      <w:r w:rsidR="00C9000D" w:rsidRPr="007E7A4A">
        <w:t xml:space="preserve"> full-time (non-managerial) employees in Queensland</w:t>
      </w:r>
      <w:r w:rsidR="009751C4" w:rsidRPr="007E7A4A">
        <w:rPr>
          <w:rStyle w:val="FootnoteReference"/>
        </w:rPr>
        <w:footnoteReference w:id="10"/>
      </w:r>
      <w:r w:rsidR="00C9000D" w:rsidRPr="007E7A4A">
        <w:t xml:space="preserve">. </w:t>
      </w:r>
      <w:r w:rsidR="00DB0068" w:rsidRPr="007E7A4A">
        <w:t xml:space="preserve">The Queensland Government accepts the Panel’s position </w:t>
      </w:r>
      <w:r w:rsidR="00845051" w:rsidRPr="007E7A4A">
        <w:t>“that adult award-reliant employees who receive a rate of pay that (as a full-time equivalent) is below two-thirds of median (adult) ordinary time earnings prove a suitable and operational benchmark for identifying who is low paid.”</w:t>
      </w:r>
      <w:r w:rsidR="00DB0068" w:rsidRPr="007E7A4A">
        <w:rPr>
          <w:rStyle w:val="FootnoteReference"/>
        </w:rPr>
        <w:footnoteReference w:id="11"/>
      </w:r>
      <w:r w:rsidR="00B00A90" w:rsidRPr="007E7A4A">
        <w:t xml:space="preserve"> </w:t>
      </w:r>
      <w:r w:rsidR="00DB0068" w:rsidRPr="007E7A4A">
        <w:t xml:space="preserve">The Queensland Government also accepts the Panel’s view that </w:t>
      </w:r>
      <w:r w:rsidR="009751C4" w:rsidRPr="007E7A4A">
        <w:t>“the information as a whole suggests that a sizeable proportion—probably a majority—of employees who are award reliant are also low paid by reference to the two-thirds of median weekly earnings benchmark”.</w:t>
      </w:r>
      <w:r w:rsidR="00DB0068" w:rsidRPr="007E7A4A">
        <w:rPr>
          <w:rStyle w:val="FootnoteReference"/>
        </w:rPr>
        <w:footnoteReference w:id="12"/>
      </w:r>
      <w:r w:rsidR="00DB0068" w:rsidRPr="007E7A4A">
        <w:t xml:space="preserve">  Therefore, t</w:t>
      </w:r>
      <w:r w:rsidR="00C9000D" w:rsidRPr="007E7A4A">
        <w:t xml:space="preserve">he minimum wage </w:t>
      </w:r>
      <w:r w:rsidRPr="007E7A4A">
        <w:t xml:space="preserve">and modern award </w:t>
      </w:r>
      <w:r w:rsidR="00C9000D" w:rsidRPr="007E7A4A">
        <w:t>objective</w:t>
      </w:r>
      <w:r w:rsidRPr="007E7A4A">
        <w:t>s</w:t>
      </w:r>
      <w:r w:rsidR="00C9000D" w:rsidRPr="007E7A4A">
        <w:t xml:space="preserve"> pertaining to </w:t>
      </w:r>
      <w:r w:rsidRPr="007E7A4A">
        <w:t xml:space="preserve">relative </w:t>
      </w:r>
      <w:r w:rsidR="00C9000D" w:rsidRPr="007E7A4A">
        <w:t xml:space="preserve">living standards </w:t>
      </w:r>
      <w:r w:rsidRPr="007E7A4A">
        <w:t xml:space="preserve">and the </w:t>
      </w:r>
      <w:r w:rsidR="0042404C" w:rsidRPr="007E7A4A">
        <w:t xml:space="preserve">needs </w:t>
      </w:r>
      <w:r w:rsidRPr="007E7A4A">
        <w:t xml:space="preserve">of the low paid </w:t>
      </w:r>
      <w:r w:rsidR="004360E1" w:rsidRPr="007E7A4A">
        <w:t xml:space="preserve">are </w:t>
      </w:r>
      <w:r w:rsidR="00C9000D" w:rsidRPr="007E7A4A">
        <w:t>particularly relevant to this group.</w:t>
      </w:r>
      <w:r w:rsidR="001D5949" w:rsidRPr="007E7A4A">
        <w:t xml:space="preserve"> </w:t>
      </w:r>
      <w:r w:rsidR="008E0509" w:rsidRPr="007E7A4A">
        <w:t>It is important that such a significant group of full time employees are provided with a living wage.</w:t>
      </w:r>
    </w:p>
    <w:p w14:paraId="337ED810" w14:textId="7AD6D277" w:rsidR="00C9000D" w:rsidRPr="007E7A4A" w:rsidRDefault="00A6071B" w:rsidP="00CF02D7">
      <w:pPr>
        <w:pStyle w:val="NWCbodytextArial11ptJustified"/>
      </w:pPr>
      <w:r w:rsidRPr="007E7A4A">
        <w:t>S</w:t>
      </w:r>
      <w:r w:rsidR="00C9000D" w:rsidRPr="007E7A4A">
        <w:t xml:space="preserve">ome </w:t>
      </w:r>
      <w:r w:rsidR="007F0A96" w:rsidRPr="007E7A4A">
        <w:t>279</w:t>
      </w:r>
      <w:r w:rsidR="00C9000D" w:rsidRPr="007E7A4A">
        <w:t>,</w:t>
      </w:r>
      <w:r w:rsidR="007F0A96" w:rsidRPr="007E7A4A">
        <w:t>3</w:t>
      </w:r>
      <w:r w:rsidR="00C9000D" w:rsidRPr="007E7A4A">
        <w:t xml:space="preserve">00 part-time employees in Queensland </w:t>
      </w:r>
      <w:r w:rsidR="007E7A4A" w:rsidRPr="007E7A4A">
        <w:t>are</w:t>
      </w:r>
      <w:r w:rsidRPr="007E7A4A">
        <w:t xml:space="preserve"> also</w:t>
      </w:r>
      <w:r w:rsidR="002452E7" w:rsidRPr="007E7A4A">
        <w:t xml:space="preserve"> </w:t>
      </w:r>
      <w:r w:rsidR="00C9000D" w:rsidRPr="007E7A4A">
        <w:t>award-reliant</w:t>
      </w:r>
      <w:r w:rsidR="00087355" w:rsidRPr="007E7A4A">
        <w:rPr>
          <w:rStyle w:val="FootnoteReference"/>
        </w:rPr>
        <w:footnoteReference w:id="13"/>
      </w:r>
      <w:r w:rsidR="00C9000D" w:rsidRPr="007E7A4A">
        <w:t>.</w:t>
      </w:r>
      <w:r w:rsidR="00DA16D7" w:rsidRPr="007E7A4A">
        <w:t xml:space="preserve"> </w:t>
      </w:r>
      <w:r w:rsidR="00F24725" w:rsidRPr="007E7A4A">
        <w:t>G</w:t>
      </w:r>
      <w:r w:rsidR="00DC099F" w:rsidRPr="007E7A4A">
        <w:t xml:space="preserve">iven current high levels of underemployment, </w:t>
      </w:r>
      <w:r w:rsidR="00E91B7F" w:rsidRPr="007E7A4A">
        <w:t>the Queensland Government submits that the needs of the low paid is also an important consideration for this group.</w:t>
      </w:r>
    </w:p>
    <w:p w14:paraId="2433B7F4" w14:textId="77777777" w:rsidR="00F54DDF" w:rsidRPr="00131079" w:rsidRDefault="00F54DDF" w:rsidP="006173AE">
      <w:pPr>
        <w:keepNext/>
        <w:rPr>
          <w:rFonts w:ascii="Arial" w:hAnsi="Arial" w:cs="Arial"/>
          <w:sz w:val="26"/>
          <w:szCs w:val="26"/>
        </w:rPr>
      </w:pPr>
      <w:r w:rsidRPr="00131079">
        <w:rPr>
          <w:rFonts w:ascii="Arial" w:hAnsi="Arial" w:cs="Arial"/>
          <w:b/>
          <w:sz w:val="26"/>
          <w:szCs w:val="26"/>
        </w:rPr>
        <w:t>Table 1: Employees by Industry</w:t>
      </w:r>
      <w:r w:rsidR="00193474" w:rsidRPr="00131079">
        <w:rPr>
          <w:rFonts w:ascii="Arial" w:hAnsi="Arial" w:cs="Arial"/>
          <w:b/>
          <w:sz w:val="26"/>
          <w:szCs w:val="26"/>
        </w:rPr>
        <w:t xml:space="preserve"> (Australia)</w:t>
      </w:r>
    </w:p>
    <w:tbl>
      <w:tblPr>
        <w:tblW w:w="869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2"/>
        <w:gridCol w:w="1367"/>
        <w:gridCol w:w="1418"/>
        <w:gridCol w:w="1559"/>
      </w:tblGrid>
      <w:tr w:rsidR="00D62B80" w:rsidRPr="006D043F" w14:paraId="15C06245" w14:textId="77777777" w:rsidTr="003B5C0C">
        <w:trPr>
          <w:trHeight w:val="225"/>
        </w:trPr>
        <w:tc>
          <w:tcPr>
            <w:tcW w:w="4352" w:type="dxa"/>
            <w:shd w:val="clear" w:color="auto" w:fill="auto"/>
            <w:noWrap/>
            <w:vAlign w:val="center"/>
          </w:tcPr>
          <w:p w14:paraId="6F24D2D2" w14:textId="77777777" w:rsidR="00D62B80" w:rsidRPr="006D043F" w:rsidRDefault="00D62B80" w:rsidP="006173AE">
            <w:pPr>
              <w:keepNext/>
              <w:tabs>
                <w:tab w:val="left" w:pos="540"/>
                <w:tab w:val="left" w:pos="900"/>
              </w:tabs>
              <w:spacing w:before="20" w:after="20"/>
              <w:jc w:val="center"/>
              <w:rPr>
                <w:rFonts w:ascii="Arial" w:hAnsi="Arial" w:cs="Arial"/>
                <w:b/>
                <w:sz w:val="20"/>
                <w:szCs w:val="20"/>
              </w:rPr>
            </w:pPr>
            <w:r w:rsidRPr="006D043F">
              <w:rPr>
                <w:rFonts w:ascii="Arial" w:hAnsi="Arial" w:cs="Arial"/>
                <w:b/>
                <w:sz w:val="20"/>
                <w:szCs w:val="20"/>
              </w:rPr>
              <w:t>Industry</w:t>
            </w:r>
          </w:p>
        </w:tc>
        <w:tc>
          <w:tcPr>
            <w:tcW w:w="1367" w:type="dxa"/>
            <w:shd w:val="clear" w:color="auto" w:fill="auto"/>
            <w:noWrap/>
            <w:vAlign w:val="center"/>
          </w:tcPr>
          <w:p w14:paraId="72B8B18E" w14:textId="77777777" w:rsidR="00D62B80" w:rsidRPr="006D043F" w:rsidRDefault="00D62B80" w:rsidP="006173AE">
            <w:pPr>
              <w:keepNext/>
              <w:tabs>
                <w:tab w:val="left" w:pos="540"/>
                <w:tab w:val="left" w:pos="900"/>
              </w:tabs>
              <w:spacing w:before="20" w:after="20"/>
              <w:jc w:val="center"/>
              <w:rPr>
                <w:rFonts w:ascii="Arial" w:hAnsi="Arial" w:cs="Arial"/>
                <w:b/>
                <w:sz w:val="20"/>
                <w:szCs w:val="20"/>
              </w:rPr>
            </w:pPr>
            <w:r>
              <w:rPr>
                <w:rFonts w:ascii="Arial" w:hAnsi="Arial" w:cs="Arial"/>
                <w:b/>
                <w:sz w:val="20"/>
                <w:szCs w:val="20"/>
              </w:rPr>
              <w:t>Number of Employees</w:t>
            </w:r>
            <w:r w:rsidRPr="003B5C0C">
              <w:rPr>
                <w:rFonts w:ascii="Arial" w:hAnsi="Arial" w:cs="Arial"/>
                <w:b/>
                <w:sz w:val="20"/>
                <w:szCs w:val="20"/>
                <w:vertAlign w:val="superscript"/>
              </w:rPr>
              <w:t>a</w:t>
            </w:r>
            <w:r>
              <w:rPr>
                <w:rFonts w:ascii="Arial" w:hAnsi="Arial" w:cs="Arial"/>
                <w:b/>
                <w:sz w:val="20"/>
                <w:szCs w:val="20"/>
              </w:rPr>
              <w:t xml:space="preserve"> (000s)</w:t>
            </w:r>
          </w:p>
        </w:tc>
        <w:tc>
          <w:tcPr>
            <w:tcW w:w="1418" w:type="dxa"/>
            <w:vAlign w:val="center"/>
          </w:tcPr>
          <w:p w14:paraId="32808AC0" w14:textId="77777777" w:rsidR="00D62B80" w:rsidRPr="006D043F" w:rsidRDefault="00D62B80" w:rsidP="006173AE">
            <w:pPr>
              <w:keepNext/>
              <w:tabs>
                <w:tab w:val="left" w:pos="540"/>
                <w:tab w:val="left" w:pos="900"/>
              </w:tabs>
              <w:spacing w:before="20" w:after="20"/>
              <w:jc w:val="center"/>
              <w:rPr>
                <w:rFonts w:ascii="Arial" w:hAnsi="Arial" w:cs="Arial"/>
                <w:b/>
                <w:sz w:val="20"/>
                <w:szCs w:val="20"/>
              </w:rPr>
            </w:pPr>
            <w:r>
              <w:rPr>
                <w:rFonts w:ascii="Arial" w:hAnsi="Arial" w:cs="Arial"/>
                <w:b/>
                <w:sz w:val="20"/>
                <w:szCs w:val="20"/>
              </w:rPr>
              <w:t>Proportion of female</w:t>
            </w:r>
            <w:r w:rsidRPr="006D043F">
              <w:rPr>
                <w:rFonts w:ascii="Arial" w:hAnsi="Arial" w:cs="Arial"/>
                <w:b/>
                <w:sz w:val="20"/>
                <w:szCs w:val="20"/>
              </w:rPr>
              <w:t xml:space="preserve"> </w:t>
            </w:r>
            <w:r>
              <w:rPr>
                <w:rFonts w:ascii="Arial" w:hAnsi="Arial" w:cs="Arial"/>
                <w:b/>
                <w:sz w:val="20"/>
                <w:szCs w:val="20"/>
              </w:rPr>
              <w:t>E</w:t>
            </w:r>
            <w:r w:rsidRPr="006D043F">
              <w:rPr>
                <w:rFonts w:ascii="Arial" w:hAnsi="Arial" w:cs="Arial"/>
                <w:b/>
                <w:sz w:val="20"/>
                <w:szCs w:val="20"/>
              </w:rPr>
              <w:t>mployees</w:t>
            </w:r>
            <w:r w:rsidRPr="003B5C0C">
              <w:rPr>
                <w:rFonts w:ascii="Arial" w:hAnsi="Arial" w:cs="Arial"/>
                <w:b/>
                <w:sz w:val="20"/>
                <w:szCs w:val="20"/>
                <w:vertAlign w:val="superscript"/>
              </w:rPr>
              <w:t>a</w:t>
            </w:r>
            <w:r w:rsidRPr="006D043F">
              <w:rPr>
                <w:rFonts w:ascii="Arial" w:hAnsi="Arial" w:cs="Arial"/>
                <w:b/>
                <w:sz w:val="20"/>
                <w:szCs w:val="20"/>
              </w:rPr>
              <w:t xml:space="preserve"> (</w:t>
            </w:r>
            <w:r>
              <w:rPr>
                <w:rFonts w:ascii="Arial" w:hAnsi="Arial" w:cs="Arial"/>
                <w:b/>
                <w:sz w:val="20"/>
                <w:szCs w:val="20"/>
              </w:rPr>
              <w:t>%</w:t>
            </w:r>
            <w:r w:rsidRPr="006D043F">
              <w:rPr>
                <w:rFonts w:ascii="Arial" w:hAnsi="Arial" w:cs="Arial"/>
                <w:b/>
                <w:sz w:val="20"/>
                <w:szCs w:val="20"/>
              </w:rPr>
              <w:t>)</w:t>
            </w:r>
          </w:p>
        </w:tc>
        <w:tc>
          <w:tcPr>
            <w:tcW w:w="1559" w:type="dxa"/>
          </w:tcPr>
          <w:p w14:paraId="0857AC77" w14:textId="77777777" w:rsidR="00D62B80" w:rsidRDefault="00D62B80" w:rsidP="006173AE">
            <w:pPr>
              <w:keepNext/>
              <w:tabs>
                <w:tab w:val="left" w:pos="540"/>
                <w:tab w:val="left" w:pos="900"/>
              </w:tabs>
              <w:spacing w:before="20" w:after="20"/>
              <w:jc w:val="center"/>
              <w:rPr>
                <w:rFonts w:ascii="Arial" w:hAnsi="Arial" w:cs="Arial"/>
                <w:b/>
                <w:sz w:val="20"/>
                <w:szCs w:val="20"/>
                <w:vertAlign w:val="superscript"/>
              </w:rPr>
            </w:pPr>
            <w:r>
              <w:rPr>
                <w:rFonts w:ascii="Arial" w:hAnsi="Arial" w:cs="Arial"/>
                <w:b/>
                <w:sz w:val="20"/>
                <w:szCs w:val="20"/>
              </w:rPr>
              <w:t>Proportion of Award reliant Employees</w:t>
            </w:r>
            <w:r w:rsidRPr="003B5C0C">
              <w:rPr>
                <w:rFonts w:ascii="Arial" w:hAnsi="Arial" w:cs="Arial"/>
                <w:b/>
                <w:sz w:val="20"/>
                <w:szCs w:val="20"/>
                <w:vertAlign w:val="superscript"/>
              </w:rPr>
              <w:t>b</w:t>
            </w:r>
          </w:p>
          <w:p w14:paraId="267FF400" w14:textId="77777777" w:rsidR="00D62B80" w:rsidRPr="0068368C" w:rsidRDefault="00D62B80" w:rsidP="006173AE">
            <w:pPr>
              <w:keepNext/>
              <w:tabs>
                <w:tab w:val="left" w:pos="540"/>
                <w:tab w:val="left" w:pos="900"/>
              </w:tabs>
              <w:spacing w:before="20" w:after="20"/>
              <w:jc w:val="center"/>
              <w:rPr>
                <w:rFonts w:ascii="Arial" w:hAnsi="Arial" w:cs="Arial"/>
                <w:b/>
                <w:sz w:val="20"/>
                <w:szCs w:val="20"/>
              </w:rPr>
            </w:pPr>
            <w:r w:rsidRPr="0068368C">
              <w:rPr>
                <w:rFonts w:ascii="Arial" w:hAnsi="Arial" w:cs="Arial"/>
                <w:b/>
                <w:sz w:val="20"/>
                <w:szCs w:val="20"/>
                <w:vertAlign w:val="superscript"/>
              </w:rPr>
              <w:t>(%)</w:t>
            </w:r>
          </w:p>
        </w:tc>
      </w:tr>
      <w:tr w:rsidR="00B509AA" w:rsidRPr="006D043F" w14:paraId="691C2B7A" w14:textId="77777777" w:rsidTr="00151D1D">
        <w:trPr>
          <w:trHeight w:val="225"/>
        </w:trPr>
        <w:tc>
          <w:tcPr>
            <w:tcW w:w="4352" w:type="dxa"/>
            <w:tcBorders>
              <w:bottom w:val="single" w:sz="4" w:space="0" w:color="auto"/>
            </w:tcBorders>
            <w:shd w:val="clear" w:color="auto" w:fill="auto"/>
            <w:noWrap/>
          </w:tcPr>
          <w:p w14:paraId="1086A25F" w14:textId="77777777" w:rsidR="00B509AA" w:rsidRPr="00A33BF6" w:rsidRDefault="00B509AA" w:rsidP="00B509AA">
            <w:pPr>
              <w:keepNext/>
              <w:spacing w:before="20" w:after="20"/>
              <w:rPr>
                <w:rFonts w:ascii="Arial" w:hAnsi="Arial" w:cs="Arial"/>
                <w:sz w:val="20"/>
                <w:szCs w:val="20"/>
              </w:rPr>
            </w:pPr>
            <w:r w:rsidRPr="00A33BF6">
              <w:rPr>
                <w:rFonts w:ascii="Arial" w:hAnsi="Arial" w:cs="Arial"/>
                <w:sz w:val="20"/>
                <w:szCs w:val="20"/>
              </w:rPr>
              <w:t>Mining</w:t>
            </w:r>
          </w:p>
        </w:tc>
        <w:tc>
          <w:tcPr>
            <w:tcW w:w="1367" w:type="dxa"/>
            <w:tcBorders>
              <w:bottom w:val="single" w:sz="4" w:space="0" w:color="auto"/>
            </w:tcBorders>
            <w:shd w:val="clear" w:color="auto" w:fill="auto"/>
            <w:noWrap/>
            <w:vAlign w:val="bottom"/>
          </w:tcPr>
          <w:p w14:paraId="180FDDEC" w14:textId="77777777" w:rsidR="00B509AA" w:rsidRPr="00EF1A25" w:rsidRDefault="00B509AA" w:rsidP="00151D1D">
            <w:pPr>
              <w:keepNext/>
              <w:jc w:val="right"/>
              <w:rPr>
                <w:rFonts w:ascii="Arial" w:hAnsi="Arial" w:cs="Arial"/>
                <w:sz w:val="20"/>
                <w:szCs w:val="20"/>
                <w:highlight w:val="yellow"/>
              </w:rPr>
            </w:pPr>
            <w:r w:rsidRPr="00EF1A25">
              <w:rPr>
                <w:rFonts w:ascii="Arial" w:hAnsi="Arial" w:cs="Arial"/>
                <w:sz w:val="20"/>
                <w:szCs w:val="20"/>
              </w:rPr>
              <w:t>256.0</w:t>
            </w:r>
          </w:p>
        </w:tc>
        <w:tc>
          <w:tcPr>
            <w:tcW w:w="1418" w:type="dxa"/>
            <w:tcBorders>
              <w:bottom w:val="single" w:sz="4" w:space="0" w:color="auto"/>
            </w:tcBorders>
            <w:vAlign w:val="bottom"/>
          </w:tcPr>
          <w:p w14:paraId="33C15E2F" w14:textId="77777777" w:rsidR="00B509AA" w:rsidRPr="00EF1A25" w:rsidRDefault="00B509AA" w:rsidP="00151D1D">
            <w:pPr>
              <w:keepNext/>
              <w:jc w:val="right"/>
              <w:rPr>
                <w:rFonts w:ascii="Arial" w:hAnsi="Arial" w:cs="Arial"/>
                <w:sz w:val="20"/>
                <w:szCs w:val="20"/>
                <w:highlight w:val="yellow"/>
              </w:rPr>
            </w:pPr>
            <w:r>
              <w:rPr>
                <w:rFonts w:ascii="Arial" w:hAnsi="Arial" w:cs="Arial"/>
                <w:sz w:val="20"/>
                <w:szCs w:val="20"/>
              </w:rPr>
              <w:t>15.93</w:t>
            </w:r>
          </w:p>
        </w:tc>
        <w:tc>
          <w:tcPr>
            <w:tcW w:w="1559" w:type="dxa"/>
            <w:tcBorders>
              <w:bottom w:val="single" w:sz="4" w:space="0" w:color="auto"/>
            </w:tcBorders>
            <w:vAlign w:val="bottom"/>
          </w:tcPr>
          <w:p w14:paraId="1C46F470" w14:textId="77777777" w:rsidR="00B509AA" w:rsidRPr="00950BCD" w:rsidRDefault="00B509AA" w:rsidP="00151D1D">
            <w:pPr>
              <w:keepNext/>
              <w:jc w:val="right"/>
              <w:rPr>
                <w:rFonts w:ascii="Arial" w:hAnsi="Arial" w:cs="Arial"/>
                <w:color w:val="000000"/>
                <w:sz w:val="20"/>
                <w:szCs w:val="20"/>
                <w:highlight w:val="yellow"/>
              </w:rPr>
            </w:pPr>
            <w:r w:rsidRPr="00950BCD">
              <w:rPr>
                <w:rFonts w:ascii="Arial" w:hAnsi="Arial" w:cs="Arial"/>
                <w:sz w:val="20"/>
                <w:szCs w:val="20"/>
              </w:rPr>
              <w:t>0.87</w:t>
            </w:r>
          </w:p>
        </w:tc>
      </w:tr>
      <w:tr w:rsidR="00B509AA" w:rsidRPr="006D043F" w14:paraId="0EE4EAA2" w14:textId="77777777" w:rsidTr="00151D1D">
        <w:trPr>
          <w:trHeight w:val="225"/>
        </w:trPr>
        <w:tc>
          <w:tcPr>
            <w:tcW w:w="4352" w:type="dxa"/>
            <w:shd w:val="clear" w:color="auto" w:fill="auto"/>
            <w:noWrap/>
          </w:tcPr>
          <w:p w14:paraId="78BCC966" w14:textId="77777777" w:rsidR="00B509AA" w:rsidRPr="00A33BF6" w:rsidRDefault="00B509AA" w:rsidP="00B509AA">
            <w:pPr>
              <w:keepNext/>
              <w:spacing w:before="20" w:after="20"/>
              <w:rPr>
                <w:rFonts w:ascii="Arial" w:hAnsi="Arial" w:cs="Arial"/>
                <w:sz w:val="20"/>
                <w:szCs w:val="20"/>
              </w:rPr>
            </w:pPr>
            <w:r w:rsidRPr="00A33BF6">
              <w:rPr>
                <w:rFonts w:ascii="Arial" w:hAnsi="Arial" w:cs="Arial"/>
                <w:sz w:val="20"/>
                <w:szCs w:val="20"/>
              </w:rPr>
              <w:t>Manufacturing</w:t>
            </w:r>
          </w:p>
        </w:tc>
        <w:tc>
          <w:tcPr>
            <w:tcW w:w="1367" w:type="dxa"/>
            <w:shd w:val="clear" w:color="auto" w:fill="auto"/>
            <w:noWrap/>
            <w:vAlign w:val="bottom"/>
          </w:tcPr>
          <w:p w14:paraId="7D874556" w14:textId="77777777" w:rsidR="00B509AA" w:rsidRPr="00EF1A25" w:rsidRDefault="00B509AA" w:rsidP="00151D1D">
            <w:pPr>
              <w:keepNext/>
              <w:jc w:val="right"/>
              <w:rPr>
                <w:rFonts w:ascii="Arial" w:hAnsi="Arial" w:cs="Arial"/>
                <w:sz w:val="20"/>
                <w:szCs w:val="20"/>
                <w:highlight w:val="yellow"/>
              </w:rPr>
            </w:pPr>
            <w:r w:rsidRPr="00EF1A25">
              <w:rPr>
                <w:rFonts w:ascii="Arial" w:hAnsi="Arial" w:cs="Arial"/>
                <w:sz w:val="20"/>
                <w:szCs w:val="20"/>
              </w:rPr>
              <w:t>901.7</w:t>
            </w:r>
          </w:p>
        </w:tc>
        <w:tc>
          <w:tcPr>
            <w:tcW w:w="1418" w:type="dxa"/>
            <w:vAlign w:val="bottom"/>
          </w:tcPr>
          <w:p w14:paraId="497BFB0A" w14:textId="77777777" w:rsidR="00B509AA" w:rsidRPr="00EF1A25" w:rsidRDefault="00B509AA" w:rsidP="00151D1D">
            <w:pPr>
              <w:keepNext/>
              <w:jc w:val="right"/>
              <w:rPr>
                <w:rFonts w:ascii="Arial" w:hAnsi="Arial" w:cs="Arial"/>
                <w:sz w:val="20"/>
                <w:szCs w:val="20"/>
                <w:highlight w:val="yellow"/>
              </w:rPr>
            </w:pPr>
            <w:r>
              <w:rPr>
                <w:rFonts w:ascii="Arial" w:hAnsi="Arial" w:cs="Arial"/>
                <w:sz w:val="20"/>
                <w:szCs w:val="20"/>
              </w:rPr>
              <w:t>27.56</w:t>
            </w:r>
          </w:p>
        </w:tc>
        <w:tc>
          <w:tcPr>
            <w:tcW w:w="1559" w:type="dxa"/>
            <w:vAlign w:val="bottom"/>
          </w:tcPr>
          <w:p w14:paraId="345A7FC8" w14:textId="77777777" w:rsidR="00B509AA" w:rsidRPr="00950BCD" w:rsidRDefault="00B509AA" w:rsidP="00151D1D">
            <w:pPr>
              <w:keepNext/>
              <w:jc w:val="right"/>
              <w:rPr>
                <w:rFonts w:ascii="Arial" w:hAnsi="Arial" w:cs="Arial"/>
                <w:color w:val="000000"/>
                <w:sz w:val="20"/>
                <w:szCs w:val="20"/>
                <w:highlight w:val="yellow"/>
              </w:rPr>
            </w:pPr>
            <w:r w:rsidRPr="00950BCD">
              <w:rPr>
                <w:rFonts w:ascii="Arial" w:hAnsi="Arial" w:cs="Arial"/>
                <w:sz w:val="20"/>
                <w:szCs w:val="20"/>
              </w:rPr>
              <w:t>20.77</w:t>
            </w:r>
          </w:p>
        </w:tc>
      </w:tr>
      <w:tr w:rsidR="00B509AA" w:rsidRPr="006D043F" w14:paraId="65029A4B" w14:textId="77777777" w:rsidTr="00151D1D">
        <w:trPr>
          <w:trHeight w:val="225"/>
        </w:trPr>
        <w:tc>
          <w:tcPr>
            <w:tcW w:w="4352" w:type="dxa"/>
            <w:tcBorders>
              <w:bottom w:val="single" w:sz="4" w:space="0" w:color="auto"/>
            </w:tcBorders>
            <w:shd w:val="clear" w:color="auto" w:fill="auto"/>
            <w:noWrap/>
          </w:tcPr>
          <w:p w14:paraId="7F0A0D8F" w14:textId="77777777" w:rsidR="00B509AA" w:rsidRPr="00A33BF6" w:rsidRDefault="00B509AA" w:rsidP="00B509AA">
            <w:pPr>
              <w:keepNext/>
              <w:spacing w:before="20" w:after="20"/>
              <w:rPr>
                <w:rFonts w:ascii="Arial" w:hAnsi="Arial" w:cs="Arial"/>
                <w:sz w:val="20"/>
                <w:szCs w:val="20"/>
              </w:rPr>
            </w:pPr>
            <w:r w:rsidRPr="00A33BF6">
              <w:rPr>
                <w:rFonts w:ascii="Arial" w:hAnsi="Arial" w:cs="Arial"/>
                <w:sz w:val="20"/>
                <w:szCs w:val="20"/>
              </w:rPr>
              <w:t>Electricity, Gas and Water Services</w:t>
            </w:r>
          </w:p>
        </w:tc>
        <w:tc>
          <w:tcPr>
            <w:tcW w:w="1367" w:type="dxa"/>
            <w:tcBorders>
              <w:bottom w:val="single" w:sz="4" w:space="0" w:color="auto"/>
            </w:tcBorders>
            <w:shd w:val="clear" w:color="auto" w:fill="auto"/>
            <w:noWrap/>
            <w:vAlign w:val="bottom"/>
          </w:tcPr>
          <w:p w14:paraId="3FB71671" w14:textId="77777777" w:rsidR="00B509AA" w:rsidRPr="00EF1A25" w:rsidRDefault="00B509AA" w:rsidP="00151D1D">
            <w:pPr>
              <w:keepNext/>
              <w:jc w:val="right"/>
              <w:rPr>
                <w:rFonts w:ascii="Arial" w:hAnsi="Arial" w:cs="Arial"/>
                <w:sz w:val="20"/>
                <w:szCs w:val="20"/>
                <w:highlight w:val="yellow"/>
              </w:rPr>
            </w:pPr>
            <w:r w:rsidRPr="00EF1A25">
              <w:rPr>
                <w:rFonts w:ascii="Arial" w:hAnsi="Arial" w:cs="Arial"/>
                <w:sz w:val="20"/>
                <w:szCs w:val="20"/>
              </w:rPr>
              <w:t>156.6</w:t>
            </w:r>
          </w:p>
        </w:tc>
        <w:tc>
          <w:tcPr>
            <w:tcW w:w="1418" w:type="dxa"/>
            <w:tcBorders>
              <w:bottom w:val="single" w:sz="4" w:space="0" w:color="auto"/>
            </w:tcBorders>
            <w:vAlign w:val="bottom"/>
          </w:tcPr>
          <w:p w14:paraId="6DE4D1AD" w14:textId="77777777" w:rsidR="00B509AA" w:rsidRPr="00EF1A25" w:rsidRDefault="00B509AA" w:rsidP="00151D1D">
            <w:pPr>
              <w:keepNext/>
              <w:jc w:val="right"/>
              <w:rPr>
                <w:rFonts w:ascii="Arial" w:hAnsi="Arial" w:cs="Arial"/>
                <w:sz w:val="20"/>
                <w:szCs w:val="20"/>
                <w:highlight w:val="yellow"/>
              </w:rPr>
            </w:pPr>
            <w:r>
              <w:rPr>
                <w:rFonts w:ascii="Arial" w:hAnsi="Arial" w:cs="Arial"/>
                <w:sz w:val="20"/>
                <w:szCs w:val="20"/>
              </w:rPr>
              <w:t>26.61</w:t>
            </w:r>
          </w:p>
        </w:tc>
        <w:tc>
          <w:tcPr>
            <w:tcW w:w="1559" w:type="dxa"/>
            <w:tcBorders>
              <w:bottom w:val="single" w:sz="4" w:space="0" w:color="auto"/>
            </w:tcBorders>
            <w:vAlign w:val="bottom"/>
          </w:tcPr>
          <w:p w14:paraId="7E4CD7E0" w14:textId="77777777" w:rsidR="00B509AA" w:rsidRPr="00950BCD" w:rsidRDefault="00B509AA" w:rsidP="00151D1D">
            <w:pPr>
              <w:keepNext/>
              <w:jc w:val="right"/>
              <w:rPr>
                <w:rFonts w:ascii="Arial" w:hAnsi="Arial" w:cs="Arial"/>
                <w:color w:val="000000"/>
                <w:sz w:val="20"/>
                <w:szCs w:val="20"/>
                <w:highlight w:val="yellow"/>
              </w:rPr>
            </w:pPr>
            <w:r w:rsidRPr="00950BCD">
              <w:rPr>
                <w:rFonts w:ascii="Arial" w:hAnsi="Arial" w:cs="Arial"/>
                <w:sz w:val="20"/>
                <w:szCs w:val="20"/>
              </w:rPr>
              <w:t>4.11</w:t>
            </w:r>
          </w:p>
        </w:tc>
      </w:tr>
      <w:tr w:rsidR="00B509AA" w:rsidRPr="006D043F" w14:paraId="3D537C38" w14:textId="77777777" w:rsidTr="00151D1D">
        <w:trPr>
          <w:trHeight w:val="225"/>
        </w:trPr>
        <w:tc>
          <w:tcPr>
            <w:tcW w:w="4352" w:type="dxa"/>
            <w:tcBorders>
              <w:bottom w:val="single" w:sz="4" w:space="0" w:color="auto"/>
            </w:tcBorders>
            <w:shd w:val="clear" w:color="auto" w:fill="auto"/>
            <w:noWrap/>
          </w:tcPr>
          <w:p w14:paraId="2FE61B12"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Construction</w:t>
            </w:r>
          </w:p>
        </w:tc>
        <w:tc>
          <w:tcPr>
            <w:tcW w:w="1367" w:type="dxa"/>
            <w:tcBorders>
              <w:bottom w:val="single" w:sz="4" w:space="0" w:color="auto"/>
            </w:tcBorders>
            <w:shd w:val="clear" w:color="auto" w:fill="auto"/>
            <w:noWrap/>
            <w:vAlign w:val="bottom"/>
          </w:tcPr>
          <w:p w14:paraId="29A943A1"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1156.9</w:t>
            </w:r>
          </w:p>
        </w:tc>
        <w:tc>
          <w:tcPr>
            <w:tcW w:w="1418" w:type="dxa"/>
            <w:tcBorders>
              <w:bottom w:val="single" w:sz="4" w:space="0" w:color="auto"/>
            </w:tcBorders>
            <w:vAlign w:val="bottom"/>
          </w:tcPr>
          <w:p w14:paraId="5D9432E8"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11.94</w:t>
            </w:r>
          </w:p>
        </w:tc>
        <w:tc>
          <w:tcPr>
            <w:tcW w:w="1559" w:type="dxa"/>
            <w:tcBorders>
              <w:bottom w:val="single" w:sz="4" w:space="0" w:color="auto"/>
            </w:tcBorders>
            <w:vAlign w:val="bottom"/>
          </w:tcPr>
          <w:p w14:paraId="1971C9B2"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16.57</w:t>
            </w:r>
          </w:p>
        </w:tc>
      </w:tr>
      <w:tr w:rsidR="00B509AA" w:rsidRPr="006D043F" w14:paraId="5F578684"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46D13FEB"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Wholesale Trade</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F076"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407.0</w:t>
            </w:r>
          </w:p>
        </w:tc>
        <w:tc>
          <w:tcPr>
            <w:tcW w:w="1418" w:type="dxa"/>
            <w:tcBorders>
              <w:top w:val="single" w:sz="4" w:space="0" w:color="auto"/>
              <w:left w:val="single" w:sz="4" w:space="0" w:color="auto"/>
              <w:bottom w:val="single" w:sz="4" w:space="0" w:color="auto"/>
              <w:right w:val="single" w:sz="4" w:space="0" w:color="auto"/>
            </w:tcBorders>
            <w:vAlign w:val="bottom"/>
          </w:tcPr>
          <w:p w14:paraId="344ED3C2"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32.76</w:t>
            </w:r>
          </w:p>
        </w:tc>
        <w:tc>
          <w:tcPr>
            <w:tcW w:w="1559" w:type="dxa"/>
            <w:tcBorders>
              <w:top w:val="single" w:sz="4" w:space="0" w:color="auto"/>
              <w:left w:val="single" w:sz="4" w:space="0" w:color="auto"/>
              <w:bottom w:val="single" w:sz="4" w:space="0" w:color="auto"/>
              <w:right w:val="single" w:sz="4" w:space="0" w:color="auto"/>
            </w:tcBorders>
            <w:vAlign w:val="bottom"/>
          </w:tcPr>
          <w:p w14:paraId="4F1E7ABD"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16.08</w:t>
            </w:r>
          </w:p>
        </w:tc>
      </w:tr>
      <w:tr w:rsidR="00B509AA" w:rsidRPr="006D043F" w14:paraId="2000087F" w14:textId="77777777" w:rsidTr="00151D1D">
        <w:trPr>
          <w:trHeight w:val="225"/>
        </w:trPr>
        <w:tc>
          <w:tcPr>
            <w:tcW w:w="4352" w:type="dxa"/>
            <w:tcBorders>
              <w:top w:val="single" w:sz="4" w:space="0" w:color="auto"/>
              <w:bottom w:val="single" w:sz="4" w:space="0" w:color="auto"/>
            </w:tcBorders>
            <w:shd w:val="clear" w:color="auto" w:fill="auto"/>
            <w:noWrap/>
          </w:tcPr>
          <w:p w14:paraId="3BD05856"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Retail Trade</w:t>
            </w:r>
          </w:p>
        </w:tc>
        <w:tc>
          <w:tcPr>
            <w:tcW w:w="1367" w:type="dxa"/>
            <w:tcBorders>
              <w:top w:val="single" w:sz="4" w:space="0" w:color="auto"/>
              <w:bottom w:val="single" w:sz="4" w:space="0" w:color="auto"/>
            </w:tcBorders>
            <w:shd w:val="clear" w:color="auto" w:fill="auto"/>
            <w:noWrap/>
            <w:vAlign w:val="bottom"/>
          </w:tcPr>
          <w:p w14:paraId="42D9A1AD"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1296.6</w:t>
            </w:r>
          </w:p>
        </w:tc>
        <w:tc>
          <w:tcPr>
            <w:tcW w:w="1418" w:type="dxa"/>
            <w:tcBorders>
              <w:top w:val="single" w:sz="4" w:space="0" w:color="auto"/>
              <w:bottom w:val="single" w:sz="4" w:space="0" w:color="auto"/>
            </w:tcBorders>
            <w:vAlign w:val="bottom"/>
          </w:tcPr>
          <w:p w14:paraId="321C39CC"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56.58</w:t>
            </w:r>
          </w:p>
        </w:tc>
        <w:tc>
          <w:tcPr>
            <w:tcW w:w="1559" w:type="dxa"/>
            <w:tcBorders>
              <w:top w:val="single" w:sz="4" w:space="0" w:color="auto"/>
              <w:bottom w:val="single" w:sz="4" w:space="0" w:color="auto"/>
            </w:tcBorders>
            <w:vAlign w:val="bottom"/>
          </w:tcPr>
          <w:p w14:paraId="7FE219AD"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30.09</w:t>
            </w:r>
          </w:p>
        </w:tc>
      </w:tr>
      <w:tr w:rsidR="00B509AA" w:rsidRPr="006D043F" w14:paraId="09B0B85E" w14:textId="77777777" w:rsidTr="00151D1D">
        <w:trPr>
          <w:trHeight w:val="225"/>
        </w:trPr>
        <w:tc>
          <w:tcPr>
            <w:tcW w:w="4352" w:type="dxa"/>
            <w:tcBorders>
              <w:bottom w:val="single" w:sz="4" w:space="0" w:color="auto"/>
            </w:tcBorders>
            <w:shd w:val="clear" w:color="auto" w:fill="auto"/>
            <w:noWrap/>
          </w:tcPr>
          <w:p w14:paraId="3C52B359"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Accommodation and Food Services</w:t>
            </w:r>
          </w:p>
        </w:tc>
        <w:tc>
          <w:tcPr>
            <w:tcW w:w="1367" w:type="dxa"/>
            <w:tcBorders>
              <w:bottom w:val="single" w:sz="4" w:space="0" w:color="auto"/>
            </w:tcBorders>
            <w:shd w:val="clear" w:color="auto" w:fill="auto"/>
            <w:noWrap/>
            <w:vAlign w:val="bottom"/>
          </w:tcPr>
          <w:p w14:paraId="4BB7348C"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904.7</w:t>
            </w:r>
          </w:p>
        </w:tc>
        <w:tc>
          <w:tcPr>
            <w:tcW w:w="1418" w:type="dxa"/>
            <w:tcBorders>
              <w:bottom w:val="single" w:sz="4" w:space="0" w:color="auto"/>
            </w:tcBorders>
            <w:vAlign w:val="bottom"/>
          </w:tcPr>
          <w:p w14:paraId="4E67C92F"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53.53</w:t>
            </w:r>
          </w:p>
        </w:tc>
        <w:tc>
          <w:tcPr>
            <w:tcW w:w="1559" w:type="dxa"/>
            <w:tcBorders>
              <w:bottom w:val="single" w:sz="4" w:space="0" w:color="auto"/>
            </w:tcBorders>
            <w:vAlign w:val="bottom"/>
          </w:tcPr>
          <w:p w14:paraId="7E9DE03E"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44.87</w:t>
            </w:r>
          </w:p>
        </w:tc>
      </w:tr>
      <w:tr w:rsidR="00B509AA" w:rsidRPr="006D043F" w14:paraId="570B038A" w14:textId="77777777" w:rsidTr="00151D1D">
        <w:trPr>
          <w:trHeight w:val="225"/>
        </w:trPr>
        <w:tc>
          <w:tcPr>
            <w:tcW w:w="4352" w:type="dxa"/>
            <w:tcBorders>
              <w:bottom w:val="single" w:sz="4" w:space="0" w:color="auto"/>
            </w:tcBorders>
            <w:shd w:val="clear" w:color="auto" w:fill="auto"/>
            <w:noWrap/>
          </w:tcPr>
          <w:p w14:paraId="5B9D9BC7"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Transport, Postal and Warehousing</w:t>
            </w:r>
          </w:p>
        </w:tc>
        <w:tc>
          <w:tcPr>
            <w:tcW w:w="1367" w:type="dxa"/>
            <w:tcBorders>
              <w:bottom w:val="single" w:sz="4" w:space="0" w:color="auto"/>
            </w:tcBorders>
            <w:shd w:val="clear" w:color="auto" w:fill="auto"/>
            <w:noWrap/>
            <w:vAlign w:val="bottom"/>
          </w:tcPr>
          <w:p w14:paraId="486E12E2"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658.3</w:t>
            </w:r>
          </w:p>
        </w:tc>
        <w:tc>
          <w:tcPr>
            <w:tcW w:w="1418" w:type="dxa"/>
            <w:tcBorders>
              <w:bottom w:val="single" w:sz="4" w:space="0" w:color="auto"/>
            </w:tcBorders>
            <w:vAlign w:val="bottom"/>
          </w:tcPr>
          <w:p w14:paraId="41D75007"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21.46</w:t>
            </w:r>
          </w:p>
        </w:tc>
        <w:tc>
          <w:tcPr>
            <w:tcW w:w="1559" w:type="dxa"/>
            <w:tcBorders>
              <w:bottom w:val="single" w:sz="4" w:space="0" w:color="auto"/>
            </w:tcBorders>
            <w:vAlign w:val="bottom"/>
          </w:tcPr>
          <w:p w14:paraId="7C25F3E8"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12.68</w:t>
            </w:r>
          </w:p>
        </w:tc>
      </w:tr>
      <w:tr w:rsidR="00B509AA" w:rsidRPr="006D043F" w14:paraId="6595CA17"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5C93B380"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Information, Media and Telecommunications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A24B2"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222.2</w:t>
            </w:r>
          </w:p>
        </w:tc>
        <w:tc>
          <w:tcPr>
            <w:tcW w:w="1418" w:type="dxa"/>
            <w:tcBorders>
              <w:top w:val="single" w:sz="4" w:space="0" w:color="auto"/>
              <w:left w:val="single" w:sz="4" w:space="0" w:color="auto"/>
              <w:bottom w:val="single" w:sz="4" w:space="0" w:color="auto"/>
              <w:right w:val="single" w:sz="4" w:space="0" w:color="auto"/>
            </w:tcBorders>
            <w:vAlign w:val="bottom"/>
          </w:tcPr>
          <w:p w14:paraId="023E896C"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40.41</w:t>
            </w:r>
          </w:p>
        </w:tc>
        <w:tc>
          <w:tcPr>
            <w:tcW w:w="1559" w:type="dxa"/>
            <w:tcBorders>
              <w:top w:val="single" w:sz="4" w:space="0" w:color="auto"/>
              <w:left w:val="single" w:sz="4" w:space="0" w:color="auto"/>
              <w:bottom w:val="single" w:sz="4" w:space="0" w:color="auto"/>
              <w:right w:val="single" w:sz="4" w:space="0" w:color="auto"/>
            </w:tcBorders>
            <w:vAlign w:val="bottom"/>
          </w:tcPr>
          <w:p w14:paraId="342AB606"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7.14</w:t>
            </w:r>
          </w:p>
        </w:tc>
      </w:tr>
      <w:tr w:rsidR="00B509AA" w:rsidRPr="006D043F" w14:paraId="5D2CECCD"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3E76B0E4"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Financial and Insurance Services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D012E"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440.7</w:t>
            </w:r>
          </w:p>
        </w:tc>
        <w:tc>
          <w:tcPr>
            <w:tcW w:w="1418" w:type="dxa"/>
            <w:tcBorders>
              <w:top w:val="single" w:sz="4" w:space="0" w:color="auto"/>
              <w:left w:val="single" w:sz="4" w:space="0" w:color="auto"/>
              <w:bottom w:val="single" w:sz="4" w:space="0" w:color="auto"/>
              <w:right w:val="single" w:sz="4" w:space="0" w:color="auto"/>
            </w:tcBorders>
            <w:vAlign w:val="bottom"/>
          </w:tcPr>
          <w:p w14:paraId="72D32031"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49.05</w:t>
            </w:r>
          </w:p>
        </w:tc>
        <w:tc>
          <w:tcPr>
            <w:tcW w:w="1559" w:type="dxa"/>
            <w:tcBorders>
              <w:top w:val="single" w:sz="4" w:space="0" w:color="auto"/>
              <w:left w:val="single" w:sz="4" w:space="0" w:color="auto"/>
              <w:bottom w:val="single" w:sz="4" w:space="0" w:color="auto"/>
              <w:right w:val="single" w:sz="4" w:space="0" w:color="auto"/>
            </w:tcBorders>
            <w:vAlign w:val="bottom"/>
          </w:tcPr>
          <w:p w14:paraId="2886F9E1"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5.21</w:t>
            </w:r>
          </w:p>
        </w:tc>
      </w:tr>
      <w:tr w:rsidR="00B509AA" w:rsidRPr="006D043F" w14:paraId="740DD434"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1F8559EE"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Rental, Hiring and Real Estate Services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7B0B0"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213.4</w:t>
            </w:r>
          </w:p>
        </w:tc>
        <w:tc>
          <w:tcPr>
            <w:tcW w:w="1418" w:type="dxa"/>
            <w:tcBorders>
              <w:top w:val="single" w:sz="4" w:space="0" w:color="auto"/>
              <w:left w:val="single" w:sz="4" w:space="0" w:color="auto"/>
              <w:bottom w:val="single" w:sz="4" w:space="0" w:color="auto"/>
              <w:right w:val="single" w:sz="4" w:space="0" w:color="auto"/>
            </w:tcBorders>
            <w:vAlign w:val="bottom"/>
          </w:tcPr>
          <w:p w14:paraId="42A236BD"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46.21</w:t>
            </w:r>
          </w:p>
        </w:tc>
        <w:tc>
          <w:tcPr>
            <w:tcW w:w="1559" w:type="dxa"/>
            <w:tcBorders>
              <w:top w:val="single" w:sz="4" w:space="0" w:color="auto"/>
              <w:left w:val="single" w:sz="4" w:space="0" w:color="auto"/>
              <w:bottom w:val="single" w:sz="4" w:space="0" w:color="auto"/>
              <w:right w:val="single" w:sz="4" w:space="0" w:color="auto"/>
            </w:tcBorders>
            <w:vAlign w:val="bottom"/>
          </w:tcPr>
          <w:p w14:paraId="641AD297"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29.40</w:t>
            </w:r>
          </w:p>
        </w:tc>
      </w:tr>
      <w:tr w:rsidR="00B509AA" w:rsidRPr="006D043F" w14:paraId="5B862FB4"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5192B791"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Professional, Scientific and Technical Services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90614"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1072.7</w:t>
            </w:r>
          </w:p>
        </w:tc>
        <w:tc>
          <w:tcPr>
            <w:tcW w:w="1418" w:type="dxa"/>
            <w:tcBorders>
              <w:top w:val="single" w:sz="4" w:space="0" w:color="auto"/>
              <w:left w:val="single" w:sz="4" w:space="0" w:color="auto"/>
              <w:bottom w:val="single" w:sz="4" w:space="0" w:color="auto"/>
              <w:right w:val="single" w:sz="4" w:space="0" w:color="auto"/>
            </w:tcBorders>
            <w:vAlign w:val="bottom"/>
          </w:tcPr>
          <w:p w14:paraId="7D8ADCEB"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43.40</w:t>
            </w:r>
          </w:p>
        </w:tc>
        <w:tc>
          <w:tcPr>
            <w:tcW w:w="1559" w:type="dxa"/>
            <w:tcBorders>
              <w:top w:val="single" w:sz="4" w:space="0" w:color="auto"/>
              <w:left w:val="single" w:sz="4" w:space="0" w:color="auto"/>
              <w:bottom w:val="single" w:sz="4" w:space="0" w:color="auto"/>
              <w:right w:val="single" w:sz="4" w:space="0" w:color="auto"/>
            </w:tcBorders>
            <w:vAlign w:val="bottom"/>
          </w:tcPr>
          <w:p w14:paraId="534A114A"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8.01</w:t>
            </w:r>
          </w:p>
        </w:tc>
      </w:tr>
      <w:tr w:rsidR="00B509AA" w:rsidRPr="006D043F" w14:paraId="22F60ED2" w14:textId="77777777" w:rsidTr="00151D1D">
        <w:trPr>
          <w:trHeight w:val="225"/>
        </w:trPr>
        <w:tc>
          <w:tcPr>
            <w:tcW w:w="4352" w:type="dxa"/>
            <w:tcBorders>
              <w:top w:val="single" w:sz="4" w:space="0" w:color="auto"/>
              <w:left w:val="single" w:sz="4" w:space="0" w:color="auto"/>
              <w:bottom w:val="single" w:sz="4" w:space="0" w:color="auto"/>
              <w:right w:val="single" w:sz="4" w:space="0" w:color="auto"/>
            </w:tcBorders>
            <w:shd w:val="clear" w:color="auto" w:fill="auto"/>
            <w:noWrap/>
          </w:tcPr>
          <w:p w14:paraId="45E0F4D7"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Administrative and Support Services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DBDE3"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412.4</w:t>
            </w:r>
          </w:p>
        </w:tc>
        <w:tc>
          <w:tcPr>
            <w:tcW w:w="1418" w:type="dxa"/>
            <w:tcBorders>
              <w:top w:val="single" w:sz="4" w:space="0" w:color="auto"/>
              <w:left w:val="single" w:sz="4" w:space="0" w:color="auto"/>
              <w:bottom w:val="single" w:sz="4" w:space="0" w:color="auto"/>
              <w:right w:val="single" w:sz="4" w:space="0" w:color="auto"/>
            </w:tcBorders>
            <w:vAlign w:val="bottom"/>
          </w:tcPr>
          <w:p w14:paraId="2A0A88E1"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54.52</w:t>
            </w:r>
          </w:p>
        </w:tc>
        <w:tc>
          <w:tcPr>
            <w:tcW w:w="1559" w:type="dxa"/>
            <w:tcBorders>
              <w:top w:val="single" w:sz="4" w:space="0" w:color="auto"/>
              <w:left w:val="single" w:sz="4" w:space="0" w:color="auto"/>
              <w:bottom w:val="single" w:sz="4" w:space="0" w:color="auto"/>
              <w:right w:val="single" w:sz="4" w:space="0" w:color="auto"/>
            </w:tcBorders>
            <w:vAlign w:val="bottom"/>
          </w:tcPr>
          <w:p w14:paraId="7131EA4A"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41.31</w:t>
            </w:r>
          </w:p>
        </w:tc>
      </w:tr>
      <w:tr w:rsidR="00B509AA" w:rsidRPr="006D043F" w14:paraId="671936ED" w14:textId="77777777" w:rsidTr="00151D1D">
        <w:trPr>
          <w:trHeight w:val="225"/>
        </w:trPr>
        <w:tc>
          <w:tcPr>
            <w:tcW w:w="4352" w:type="dxa"/>
            <w:tcBorders>
              <w:top w:val="single" w:sz="4" w:space="0" w:color="auto"/>
              <w:bottom w:val="single" w:sz="4" w:space="0" w:color="auto"/>
            </w:tcBorders>
            <w:shd w:val="clear" w:color="auto" w:fill="auto"/>
            <w:noWrap/>
          </w:tcPr>
          <w:p w14:paraId="54A36488"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Public Administration and Safety</w:t>
            </w:r>
          </w:p>
        </w:tc>
        <w:tc>
          <w:tcPr>
            <w:tcW w:w="1367" w:type="dxa"/>
            <w:tcBorders>
              <w:top w:val="single" w:sz="4" w:space="0" w:color="auto"/>
              <w:bottom w:val="single" w:sz="4" w:space="0" w:color="auto"/>
            </w:tcBorders>
            <w:shd w:val="clear" w:color="auto" w:fill="auto"/>
            <w:noWrap/>
            <w:vAlign w:val="bottom"/>
          </w:tcPr>
          <w:p w14:paraId="1B5491DF"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832.7</w:t>
            </w:r>
          </w:p>
        </w:tc>
        <w:tc>
          <w:tcPr>
            <w:tcW w:w="1418" w:type="dxa"/>
            <w:tcBorders>
              <w:top w:val="single" w:sz="4" w:space="0" w:color="auto"/>
              <w:bottom w:val="single" w:sz="4" w:space="0" w:color="auto"/>
            </w:tcBorders>
            <w:vAlign w:val="bottom"/>
          </w:tcPr>
          <w:p w14:paraId="166CD109"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50.56</w:t>
            </w:r>
          </w:p>
        </w:tc>
        <w:tc>
          <w:tcPr>
            <w:tcW w:w="1559" w:type="dxa"/>
            <w:tcBorders>
              <w:top w:val="single" w:sz="4" w:space="0" w:color="auto"/>
              <w:bottom w:val="single" w:sz="4" w:space="0" w:color="auto"/>
            </w:tcBorders>
            <w:vAlign w:val="bottom"/>
          </w:tcPr>
          <w:p w14:paraId="679C0283"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10.88</w:t>
            </w:r>
          </w:p>
        </w:tc>
      </w:tr>
      <w:tr w:rsidR="00B509AA" w:rsidRPr="006D043F" w14:paraId="39B06E0C" w14:textId="77777777" w:rsidTr="00151D1D">
        <w:trPr>
          <w:trHeight w:val="225"/>
        </w:trPr>
        <w:tc>
          <w:tcPr>
            <w:tcW w:w="4352" w:type="dxa"/>
            <w:tcBorders>
              <w:bottom w:val="single" w:sz="4" w:space="0" w:color="auto"/>
            </w:tcBorders>
            <w:shd w:val="clear" w:color="auto" w:fill="auto"/>
            <w:noWrap/>
          </w:tcPr>
          <w:p w14:paraId="4D5D0C0C"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Education and Training</w:t>
            </w:r>
          </w:p>
        </w:tc>
        <w:tc>
          <w:tcPr>
            <w:tcW w:w="1367" w:type="dxa"/>
            <w:tcBorders>
              <w:bottom w:val="single" w:sz="4" w:space="0" w:color="auto"/>
            </w:tcBorders>
            <w:shd w:val="clear" w:color="auto" w:fill="auto"/>
            <w:noWrap/>
            <w:vAlign w:val="bottom"/>
          </w:tcPr>
          <w:p w14:paraId="05A3FC0F"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1062.4</w:t>
            </w:r>
          </w:p>
        </w:tc>
        <w:tc>
          <w:tcPr>
            <w:tcW w:w="1418" w:type="dxa"/>
            <w:tcBorders>
              <w:bottom w:val="single" w:sz="4" w:space="0" w:color="auto"/>
            </w:tcBorders>
            <w:vAlign w:val="bottom"/>
          </w:tcPr>
          <w:p w14:paraId="7F097ACD"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71.81</w:t>
            </w:r>
          </w:p>
        </w:tc>
        <w:tc>
          <w:tcPr>
            <w:tcW w:w="1559" w:type="dxa"/>
            <w:tcBorders>
              <w:bottom w:val="single" w:sz="4" w:space="0" w:color="auto"/>
            </w:tcBorders>
            <w:vAlign w:val="bottom"/>
          </w:tcPr>
          <w:p w14:paraId="29B902E2"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10.02</w:t>
            </w:r>
          </w:p>
        </w:tc>
      </w:tr>
      <w:tr w:rsidR="00B509AA" w:rsidRPr="006D043F" w14:paraId="476AD5FC" w14:textId="77777777" w:rsidTr="00151D1D">
        <w:trPr>
          <w:trHeight w:val="225"/>
        </w:trPr>
        <w:tc>
          <w:tcPr>
            <w:tcW w:w="4352" w:type="dxa"/>
            <w:shd w:val="clear" w:color="auto" w:fill="auto"/>
            <w:noWrap/>
          </w:tcPr>
          <w:p w14:paraId="407A82F3"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Health Care and Social Assistance</w:t>
            </w:r>
          </w:p>
        </w:tc>
        <w:tc>
          <w:tcPr>
            <w:tcW w:w="1367" w:type="dxa"/>
            <w:shd w:val="clear" w:color="auto" w:fill="auto"/>
            <w:noWrap/>
            <w:vAlign w:val="bottom"/>
          </w:tcPr>
          <w:p w14:paraId="36FE6DC8"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1686.1</w:t>
            </w:r>
          </w:p>
        </w:tc>
        <w:tc>
          <w:tcPr>
            <w:tcW w:w="1418" w:type="dxa"/>
            <w:vAlign w:val="bottom"/>
          </w:tcPr>
          <w:p w14:paraId="59C672C3"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78.22</w:t>
            </w:r>
          </w:p>
        </w:tc>
        <w:tc>
          <w:tcPr>
            <w:tcW w:w="1559" w:type="dxa"/>
            <w:vAlign w:val="bottom"/>
          </w:tcPr>
          <w:p w14:paraId="2D2D8C44"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31.71</w:t>
            </w:r>
          </w:p>
        </w:tc>
      </w:tr>
      <w:tr w:rsidR="00B509AA" w:rsidRPr="006D043F" w14:paraId="79D3B583" w14:textId="77777777" w:rsidTr="00151D1D">
        <w:trPr>
          <w:trHeight w:val="225"/>
        </w:trPr>
        <w:tc>
          <w:tcPr>
            <w:tcW w:w="4352" w:type="dxa"/>
            <w:shd w:val="clear" w:color="auto" w:fill="auto"/>
            <w:noWrap/>
          </w:tcPr>
          <w:p w14:paraId="689FF0BF"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Arts and Recreation Services</w:t>
            </w:r>
          </w:p>
        </w:tc>
        <w:tc>
          <w:tcPr>
            <w:tcW w:w="1367" w:type="dxa"/>
            <w:shd w:val="clear" w:color="auto" w:fill="auto"/>
            <w:noWrap/>
            <w:vAlign w:val="bottom"/>
          </w:tcPr>
          <w:p w14:paraId="5AE3C52C"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240.6</w:t>
            </w:r>
          </w:p>
        </w:tc>
        <w:tc>
          <w:tcPr>
            <w:tcW w:w="1418" w:type="dxa"/>
            <w:vAlign w:val="bottom"/>
          </w:tcPr>
          <w:p w14:paraId="6F101780"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49.38</w:t>
            </w:r>
          </w:p>
        </w:tc>
        <w:tc>
          <w:tcPr>
            <w:tcW w:w="1559" w:type="dxa"/>
            <w:vAlign w:val="bottom"/>
          </w:tcPr>
          <w:p w14:paraId="576286A1"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22.49</w:t>
            </w:r>
          </w:p>
        </w:tc>
      </w:tr>
      <w:tr w:rsidR="00B509AA" w:rsidRPr="006D043F" w14:paraId="1FEB1AB6" w14:textId="77777777" w:rsidTr="00151D1D">
        <w:trPr>
          <w:trHeight w:val="225"/>
        </w:trPr>
        <w:tc>
          <w:tcPr>
            <w:tcW w:w="4352" w:type="dxa"/>
            <w:shd w:val="clear" w:color="auto" w:fill="auto"/>
            <w:noWrap/>
          </w:tcPr>
          <w:p w14:paraId="49E7596D" w14:textId="77777777" w:rsidR="00B509AA" w:rsidRPr="00A33BF6" w:rsidRDefault="00B509AA" w:rsidP="00B509AA">
            <w:pPr>
              <w:spacing w:before="20" w:after="20"/>
              <w:rPr>
                <w:rFonts w:ascii="Arial" w:hAnsi="Arial" w:cs="Arial"/>
                <w:sz w:val="20"/>
                <w:szCs w:val="20"/>
              </w:rPr>
            </w:pPr>
            <w:r w:rsidRPr="00A33BF6">
              <w:rPr>
                <w:rFonts w:ascii="Arial" w:hAnsi="Arial" w:cs="Arial"/>
                <w:sz w:val="20"/>
                <w:szCs w:val="20"/>
              </w:rPr>
              <w:t>Other Services</w:t>
            </w:r>
          </w:p>
        </w:tc>
        <w:tc>
          <w:tcPr>
            <w:tcW w:w="1367" w:type="dxa"/>
            <w:shd w:val="clear" w:color="auto" w:fill="auto"/>
            <w:noWrap/>
            <w:vAlign w:val="bottom"/>
          </w:tcPr>
          <w:p w14:paraId="4B5E87BC"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485.5</w:t>
            </w:r>
          </w:p>
        </w:tc>
        <w:tc>
          <w:tcPr>
            <w:tcW w:w="1418" w:type="dxa"/>
            <w:vAlign w:val="bottom"/>
          </w:tcPr>
          <w:p w14:paraId="048A08AC"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45.05</w:t>
            </w:r>
          </w:p>
        </w:tc>
        <w:tc>
          <w:tcPr>
            <w:tcW w:w="1559" w:type="dxa"/>
            <w:vAlign w:val="bottom"/>
          </w:tcPr>
          <w:p w14:paraId="3E7B6C00"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38.14</w:t>
            </w:r>
          </w:p>
        </w:tc>
      </w:tr>
      <w:tr w:rsidR="00B509AA" w:rsidRPr="006D043F" w14:paraId="5F24EDD6" w14:textId="77777777" w:rsidTr="00151D1D">
        <w:trPr>
          <w:trHeight w:val="225"/>
        </w:trPr>
        <w:tc>
          <w:tcPr>
            <w:tcW w:w="4352" w:type="dxa"/>
            <w:shd w:val="clear" w:color="auto" w:fill="auto"/>
            <w:noWrap/>
          </w:tcPr>
          <w:p w14:paraId="196C8260" w14:textId="77777777" w:rsidR="00B509AA" w:rsidRPr="00A33BF6" w:rsidRDefault="00B509AA" w:rsidP="00B509AA">
            <w:pPr>
              <w:tabs>
                <w:tab w:val="left" w:pos="540"/>
                <w:tab w:val="left" w:pos="900"/>
              </w:tabs>
              <w:spacing w:before="20" w:after="20"/>
              <w:rPr>
                <w:rFonts w:ascii="Arial" w:hAnsi="Arial" w:cs="Arial"/>
                <w:b/>
                <w:sz w:val="20"/>
                <w:szCs w:val="20"/>
              </w:rPr>
            </w:pPr>
            <w:r w:rsidRPr="00A33BF6">
              <w:rPr>
                <w:rFonts w:ascii="Arial" w:hAnsi="Arial" w:cs="Arial"/>
                <w:b/>
                <w:sz w:val="20"/>
                <w:szCs w:val="20"/>
              </w:rPr>
              <w:t>Total</w:t>
            </w:r>
          </w:p>
        </w:tc>
        <w:tc>
          <w:tcPr>
            <w:tcW w:w="1367" w:type="dxa"/>
            <w:shd w:val="clear" w:color="auto" w:fill="auto"/>
            <w:noWrap/>
            <w:vAlign w:val="bottom"/>
          </w:tcPr>
          <w:p w14:paraId="72D25093" w14:textId="77777777" w:rsidR="00B509AA" w:rsidRPr="00EF1A25" w:rsidRDefault="00B509AA" w:rsidP="00151D1D">
            <w:pPr>
              <w:jc w:val="right"/>
              <w:rPr>
                <w:rFonts w:ascii="Arial" w:hAnsi="Arial" w:cs="Arial"/>
                <w:sz w:val="20"/>
                <w:szCs w:val="20"/>
                <w:highlight w:val="yellow"/>
              </w:rPr>
            </w:pPr>
            <w:r w:rsidRPr="00EF1A25">
              <w:rPr>
                <w:rFonts w:ascii="Arial" w:hAnsi="Arial" w:cs="Arial"/>
                <w:sz w:val="20"/>
                <w:szCs w:val="20"/>
              </w:rPr>
              <w:t>12739.2</w:t>
            </w:r>
          </w:p>
        </w:tc>
        <w:tc>
          <w:tcPr>
            <w:tcW w:w="1418" w:type="dxa"/>
            <w:vAlign w:val="bottom"/>
          </w:tcPr>
          <w:p w14:paraId="0969FDFC" w14:textId="77777777" w:rsidR="00B509AA" w:rsidRPr="00EF1A25" w:rsidRDefault="00B509AA" w:rsidP="00151D1D">
            <w:pPr>
              <w:jc w:val="right"/>
              <w:rPr>
                <w:rFonts w:ascii="Arial" w:hAnsi="Arial" w:cs="Arial"/>
                <w:sz w:val="20"/>
                <w:szCs w:val="20"/>
                <w:highlight w:val="yellow"/>
              </w:rPr>
            </w:pPr>
            <w:r>
              <w:rPr>
                <w:rFonts w:ascii="Arial" w:hAnsi="Arial" w:cs="Arial"/>
                <w:sz w:val="20"/>
                <w:szCs w:val="20"/>
              </w:rPr>
              <w:t>47.02</w:t>
            </w:r>
          </w:p>
        </w:tc>
        <w:tc>
          <w:tcPr>
            <w:tcW w:w="1559" w:type="dxa"/>
            <w:vAlign w:val="bottom"/>
          </w:tcPr>
          <w:p w14:paraId="42415349" w14:textId="77777777" w:rsidR="00B509AA" w:rsidRPr="00950BCD" w:rsidRDefault="00B509AA" w:rsidP="00151D1D">
            <w:pPr>
              <w:jc w:val="right"/>
              <w:rPr>
                <w:rFonts w:ascii="Arial" w:hAnsi="Arial" w:cs="Arial"/>
                <w:color w:val="000000"/>
                <w:sz w:val="20"/>
                <w:szCs w:val="20"/>
                <w:highlight w:val="yellow"/>
              </w:rPr>
            </w:pPr>
            <w:r w:rsidRPr="00950BCD">
              <w:rPr>
                <w:rFonts w:ascii="Arial" w:hAnsi="Arial" w:cs="Arial"/>
                <w:sz w:val="20"/>
                <w:szCs w:val="20"/>
              </w:rPr>
              <w:t>22.52</w:t>
            </w:r>
          </w:p>
        </w:tc>
      </w:tr>
    </w:tbl>
    <w:p w14:paraId="26C50E2D" w14:textId="77777777" w:rsidR="00D62B80" w:rsidRDefault="00F54DDF" w:rsidP="00F54DDF">
      <w:pPr>
        <w:rPr>
          <w:rFonts w:ascii="Arial" w:hAnsi="Arial" w:cs="Arial"/>
          <w:sz w:val="18"/>
          <w:szCs w:val="18"/>
        </w:rPr>
      </w:pPr>
      <w:r w:rsidRPr="006D043F">
        <w:rPr>
          <w:rFonts w:ascii="Arial" w:hAnsi="Arial" w:cs="Arial"/>
          <w:sz w:val="18"/>
          <w:szCs w:val="18"/>
        </w:rPr>
        <w:t>Source:</w:t>
      </w:r>
      <w:r w:rsidR="00D62B80">
        <w:rPr>
          <w:rFonts w:ascii="Arial" w:hAnsi="Arial" w:cs="Arial"/>
          <w:sz w:val="18"/>
          <w:szCs w:val="18"/>
        </w:rPr>
        <w:tab/>
      </w:r>
      <w:r w:rsidR="00E54D35">
        <w:rPr>
          <w:rFonts w:ascii="Arial" w:hAnsi="Arial" w:cs="Arial"/>
          <w:sz w:val="18"/>
          <w:szCs w:val="18"/>
        </w:rPr>
        <w:t xml:space="preserve">a. </w:t>
      </w:r>
      <w:r w:rsidR="00D62B80">
        <w:rPr>
          <w:rFonts w:ascii="Arial" w:hAnsi="Arial" w:cs="Arial"/>
          <w:sz w:val="18"/>
          <w:szCs w:val="18"/>
        </w:rPr>
        <w:t>ABS</w:t>
      </w:r>
      <w:r w:rsidR="00E54D35">
        <w:rPr>
          <w:rFonts w:ascii="Arial" w:hAnsi="Arial" w:cs="Arial"/>
          <w:sz w:val="18"/>
          <w:szCs w:val="18"/>
        </w:rPr>
        <w:t>,</w:t>
      </w:r>
      <w:r w:rsidR="00D62B80">
        <w:rPr>
          <w:rFonts w:ascii="Arial" w:hAnsi="Arial" w:cs="Arial"/>
          <w:sz w:val="18"/>
          <w:szCs w:val="18"/>
        </w:rPr>
        <w:t xml:space="preserve"> Cat.No. 6</w:t>
      </w:r>
      <w:r w:rsidR="00E54D35">
        <w:rPr>
          <w:rFonts w:ascii="Arial" w:hAnsi="Arial" w:cs="Arial"/>
          <w:sz w:val="18"/>
          <w:szCs w:val="18"/>
        </w:rPr>
        <w:t>291</w:t>
      </w:r>
      <w:r w:rsidR="00D62B80">
        <w:rPr>
          <w:rFonts w:ascii="Arial" w:hAnsi="Arial" w:cs="Arial"/>
          <w:sz w:val="18"/>
          <w:szCs w:val="18"/>
        </w:rPr>
        <w:t xml:space="preserve"> Labour Force</w:t>
      </w:r>
      <w:r w:rsidR="00E54D35">
        <w:rPr>
          <w:rFonts w:ascii="Arial" w:hAnsi="Arial" w:cs="Arial"/>
          <w:sz w:val="18"/>
          <w:szCs w:val="18"/>
        </w:rPr>
        <w:t>, Detailed,</w:t>
      </w:r>
      <w:r w:rsidR="00D62B80">
        <w:rPr>
          <w:rFonts w:ascii="Arial" w:hAnsi="Arial" w:cs="Arial"/>
          <w:sz w:val="18"/>
          <w:szCs w:val="18"/>
        </w:rPr>
        <w:t xml:space="preserve"> </w:t>
      </w:r>
      <w:r w:rsidR="00E54D35">
        <w:rPr>
          <w:rFonts w:ascii="Arial" w:hAnsi="Arial" w:cs="Arial"/>
          <w:sz w:val="18"/>
          <w:szCs w:val="18"/>
        </w:rPr>
        <w:t>Nov</w:t>
      </w:r>
      <w:r w:rsidR="00D62B80">
        <w:rPr>
          <w:rFonts w:ascii="Arial" w:hAnsi="Arial" w:cs="Arial"/>
          <w:sz w:val="18"/>
          <w:szCs w:val="18"/>
        </w:rPr>
        <w:t xml:space="preserve"> 201</w:t>
      </w:r>
      <w:r w:rsidR="002810F6">
        <w:rPr>
          <w:rFonts w:ascii="Arial" w:hAnsi="Arial" w:cs="Arial"/>
          <w:sz w:val="18"/>
          <w:szCs w:val="18"/>
        </w:rPr>
        <w:t>8</w:t>
      </w:r>
    </w:p>
    <w:p w14:paraId="70BD893F" w14:textId="77777777" w:rsidR="00F54DDF" w:rsidRDefault="00E54D35" w:rsidP="003B5C0C">
      <w:pPr>
        <w:ind w:firstLine="720"/>
        <w:rPr>
          <w:rFonts w:ascii="Arial" w:hAnsi="Arial" w:cs="Arial"/>
          <w:bCs/>
          <w:sz w:val="18"/>
          <w:szCs w:val="18"/>
        </w:rPr>
      </w:pPr>
      <w:r>
        <w:rPr>
          <w:rFonts w:ascii="Arial" w:hAnsi="Arial" w:cs="Arial"/>
          <w:bCs/>
          <w:sz w:val="18"/>
          <w:szCs w:val="18"/>
        </w:rPr>
        <w:t xml:space="preserve">b. </w:t>
      </w:r>
      <w:r w:rsidR="00F54DDF" w:rsidRPr="006D043F">
        <w:rPr>
          <w:rFonts w:ascii="Arial" w:hAnsi="Arial" w:cs="Arial"/>
          <w:bCs/>
          <w:sz w:val="18"/>
          <w:szCs w:val="18"/>
        </w:rPr>
        <w:t xml:space="preserve">ABS, </w:t>
      </w:r>
      <w:r>
        <w:rPr>
          <w:rFonts w:ascii="Arial" w:hAnsi="Arial" w:cs="Arial"/>
          <w:sz w:val="18"/>
          <w:szCs w:val="18"/>
        </w:rPr>
        <w:t xml:space="preserve">Cat.No. </w:t>
      </w:r>
      <w:r w:rsidRPr="006D043F">
        <w:rPr>
          <w:rFonts w:ascii="Arial" w:hAnsi="Arial" w:cs="Arial"/>
          <w:bCs/>
          <w:sz w:val="18"/>
          <w:szCs w:val="18"/>
        </w:rPr>
        <w:t>6306</w:t>
      </w:r>
      <w:r>
        <w:rPr>
          <w:rFonts w:ascii="Arial" w:hAnsi="Arial" w:cs="Arial"/>
          <w:sz w:val="18"/>
          <w:szCs w:val="18"/>
        </w:rPr>
        <w:t xml:space="preserve"> </w:t>
      </w:r>
      <w:r w:rsidR="00F54DDF" w:rsidRPr="006D043F">
        <w:rPr>
          <w:rFonts w:ascii="Arial" w:hAnsi="Arial" w:cs="Arial"/>
          <w:bCs/>
          <w:sz w:val="18"/>
          <w:szCs w:val="18"/>
        </w:rPr>
        <w:t>Employee Earnings and Hours, May 201</w:t>
      </w:r>
      <w:r w:rsidR="002810F6">
        <w:rPr>
          <w:rFonts w:ascii="Arial" w:hAnsi="Arial" w:cs="Arial"/>
          <w:bCs/>
          <w:sz w:val="18"/>
          <w:szCs w:val="18"/>
        </w:rPr>
        <w:t>8</w:t>
      </w:r>
    </w:p>
    <w:p w14:paraId="324718DE" w14:textId="77777777" w:rsidR="00377DCE" w:rsidRDefault="00377DCE" w:rsidP="00377DCE">
      <w:bookmarkStart w:id="13" w:name="_Toc411933293"/>
      <w:bookmarkEnd w:id="13"/>
    </w:p>
    <w:p w14:paraId="6C91D489" w14:textId="6C7FB5E7" w:rsidR="00E47B59" w:rsidRPr="007E7A4A" w:rsidRDefault="006C44B6" w:rsidP="00CF02D7">
      <w:pPr>
        <w:pStyle w:val="NWCbodytextArial11ptJustified"/>
      </w:pPr>
      <w:r w:rsidRPr="007E7A4A">
        <w:t>Table 1 above shows employment by industry and the proportion of employees who are female in each industry (as at November 201</w:t>
      </w:r>
      <w:r w:rsidR="002810F6" w:rsidRPr="007E7A4A">
        <w:t>8</w:t>
      </w:r>
      <w:r w:rsidRPr="007E7A4A">
        <w:t xml:space="preserve">) along with the proportion of award reliant </w:t>
      </w:r>
      <w:r w:rsidR="00B00A90" w:rsidRPr="007E7A4A">
        <w:br/>
      </w:r>
      <w:r w:rsidR="00131047" w:rsidRPr="007E7A4A">
        <w:t xml:space="preserve">non-managerial </w:t>
      </w:r>
      <w:r w:rsidRPr="007E7A4A">
        <w:t>employees by industry (as at May 201</w:t>
      </w:r>
      <w:r w:rsidR="002810F6" w:rsidRPr="007E7A4A">
        <w:t>8</w:t>
      </w:r>
      <w:r w:rsidRPr="007E7A4A">
        <w:t xml:space="preserve">). The largest proportions of award dependent (non-managerial) workers are found in </w:t>
      </w:r>
      <w:r w:rsidR="007E7A4A" w:rsidRPr="007E7A4A">
        <w:t>‘</w:t>
      </w:r>
      <w:r w:rsidRPr="007E7A4A">
        <w:t>Accommodation and food services</w:t>
      </w:r>
      <w:r w:rsidR="007E7A4A" w:rsidRPr="007E7A4A">
        <w:t>’</w:t>
      </w:r>
      <w:r w:rsidRPr="007E7A4A">
        <w:t xml:space="preserve"> (4</w:t>
      </w:r>
      <w:r w:rsidR="004F03D8" w:rsidRPr="007E7A4A">
        <w:t>4</w:t>
      </w:r>
      <w:r w:rsidRPr="007E7A4A">
        <w:t>.</w:t>
      </w:r>
      <w:r w:rsidR="004F03D8" w:rsidRPr="007E7A4A">
        <w:t>8</w:t>
      </w:r>
      <w:r w:rsidRPr="007E7A4A">
        <w:t>7%, 3</w:t>
      </w:r>
      <w:r w:rsidR="007C13A5" w:rsidRPr="007E7A4A">
        <w:t>47</w:t>
      </w:r>
      <w:r w:rsidRPr="007E7A4A">
        <w:t>,</w:t>
      </w:r>
      <w:r w:rsidR="007C13A5" w:rsidRPr="007E7A4A">
        <w:t>0</w:t>
      </w:r>
      <w:r w:rsidRPr="007E7A4A">
        <w:t xml:space="preserve">00 workers), </w:t>
      </w:r>
      <w:r w:rsidR="007E7A4A" w:rsidRPr="007E7A4A">
        <w:t>‘</w:t>
      </w:r>
      <w:r w:rsidRPr="007E7A4A">
        <w:t>Administrative and support services</w:t>
      </w:r>
      <w:r w:rsidR="007E7A4A" w:rsidRPr="007E7A4A">
        <w:t>’</w:t>
      </w:r>
      <w:r w:rsidRPr="007E7A4A">
        <w:t xml:space="preserve"> (4</w:t>
      </w:r>
      <w:r w:rsidR="007C13A5" w:rsidRPr="007E7A4A">
        <w:t>1</w:t>
      </w:r>
      <w:r w:rsidRPr="007E7A4A">
        <w:t>.</w:t>
      </w:r>
      <w:r w:rsidR="007C13A5" w:rsidRPr="007E7A4A">
        <w:t>3</w:t>
      </w:r>
      <w:r w:rsidRPr="007E7A4A">
        <w:t xml:space="preserve">1%, </w:t>
      </w:r>
      <w:r w:rsidR="00322D75" w:rsidRPr="007E7A4A">
        <w:t>258</w:t>
      </w:r>
      <w:r w:rsidRPr="007E7A4A">
        <w:t>,</w:t>
      </w:r>
      <w:r w:rsidR="00322D75" w:rsidRPr="007E7A4A">
        <w:t>1</w:t>
      </w:r>
      <w:r w:rsidRPr="007E7A4A">
        <w:t>00 workers)</w:t>
      </w:r>
      <w:r w:rsidR="005524D3" w:rsidRPr="007E7A4A">
        <w:t xml:space="preserve">, </w:t>
      </w:r>
      <w:r w:rsidR="007E7A4A" w:rsidRPr="007E7A4A">
        <w:t>‘</w:t>
      </w:r>
      <w:r w:rsidR="005524D3" w:rsidRPr="007E7A4A">
        <w:t>Health care and social assistance</w:t>
      </w:r>
      <w:r w:rsidR="007E7A4A" w:rsidRPr="007E7A4A">
        <w:t>’</w:t>
      </w:r>
      <w:r w:rsidR="005524D3" w:rsidRPr="007E7A4A">
        <w:t xml:space="preserve"> (</w:t>
      </w:r>
      <w:r w:rsidR="002916B0" w:rsidRPr="007E7A4A">
        <w:t>31.71%, 452,500</w:t>
      </w:r>
      <w:r w:rsidR="00386693" w:rsidRPr="007E7A4A">
        <w:t xml:space="preserve"> workers)</w:t>
      </w:r>
      <w:r w:rsidRPr="007E7A4A">
        <w:t xml:space="preserve"> and </w:t>
      </w:r>
      <w:r w:rsidR="007E7A4A" w:rsidRPr="007E7A4A">
        <w:t>‘</w:t>
      </w:r>
      <w:r w:rsidRPr="007E7A4A">
        <w:t>Retail trade</w:t>
      </w:r>
      <w:r w:rsidR="007E7A4A" w:rsidRPr="007E7A4A">
        <w:t>’</w:t>
      </w:r>
      <w:r w:rsidRPr="007E7A4A">
        <w:t xml:space="preserve"> (3</w:t>
      </w:r>
      <w:r w:rsidR="00386693" w:rsidRPr="007E7A4A">
        <w:t>0</w:t>
      </w:r>
      <w:r w:rsidRPr="007E7A4A">
        <w:t>.</w:t>
      </w:r>
      <w:r w:rsidR="00386693" w:rsidRPr="007E7A4A">
        <w:t>09</w:t>
      </w:r>
      <w:r w:rsidRPr="007E7A4A">
        <w:t xml:space="preserve">%, </w:t>
      </w:r>
      <w:r w:rsidR="00FC636B" w:rsidRPr="007E7A4A">
        <w:t>320</w:t>
      </w:r>
      <w:r w:rsidRPr="007E7A4A">
        <w:t>,</w:t>
      </w:r>
      <w:r w:rsidR="00FC636B" w:rsidRPr="007E7A4A">
        <w:t>2</w:t>
      </w:r>
      <w:r w:rsidRPr="007E7A4A">
        <w:t>00 workers) industries</w:t>
      </w:r>
      <w:r w:rsidRPr="007E7A4A">
        <w:rPr>
          <w:vertAlign w:val="superscript"/>
        </w:rPr>
        <w:t>8</w:t>
      </w:r>
      <w:r w:rsidRPr="007E7A4A">
        <w:t>. These industries are characterised by high levels of female participation</w:t>
      </w:r>
      <w:r w:rsidR="00075C8A" w:rsidRPr="007E7A4A">
        <w:t>:</w:t>
      </w:r>
      <w:r w:rsidRPr="007E7A4A">
        <w:t xml:space="preserve"> 5</w:t>
      </w:r>
      <w:r w:rsidR="00FC636B" w:rsidRPr="007E7A4A">
        <w:t>3</w:t>
      </w:r>
      <w:r w:rsidRPr="007E7A4A">
        <w:t>.</w:t>
      </w:r>
      <w:r w:rsidR="00FC636B" w:rsidRPr="007E7A4A">
        <w:t>53</w:t>
      </w:r>
      <w:r w:rsidRPr="007E7A4A">
        <w:t>%, 5</w:t>
      </w:r>
      <w:r w:rsidR="00FC636B" w:rsidRPr="007E7A4A">
        <w:t>4.52</w:t>
      </w:r>
      <w:r w:rsidRPr="007E7A4A">
        <w:t>%</w:t>
      </w:r>
      <w:r w:rsidR="00892E1E" w:rsidRPr="007E7A4A">
        <w:t>, 78.22</w:t>
      </w:r>
      <w:r w:rsidRPr="007E7A4A">
        <w:t xml:space="preserve"> and 5</w:t>
      </w:r>
      <w:r w:rsidR="00892E1E" w:rsidRPr="007E7A4A">
        <w:t>6</w:t>
      </w:r>
      <w:r w:rsidRPr="007E7A4A">
        <w:t>.</w:t>
      </w:r>
      <w:r w:rsidR="00892E1E" w:rsidRPr="007E7A4A">
        <w:t>5</w:t>
      </w:r>
      <w:r w:rsidRPr="007E7A4A">
        <w:t>8% respectively</w:t>
      </w:r>
      <w:r w:rsidRPr="007E7A4A">
        <w:rPr>
          <w:rStyle w:val="FootnoteReference"/>
        </w:rPr>
        <w:footnoteReference w:id="14"/>
      </w:r>
      <w:r w:rsidRPr="007E7A4A">
        <w:t>.</w:t>
      </w:r>
    </w:p>
    <w:p w14:paraId="31938E72" w14:textId="504B1515" w:rsidR="00E47B59" w:rsidRPr="007E7A4A" w:rsidRDefault="00E47B59" w:rsidP="00CF02D7">
      <w:pPr>
        <w:pStyle w:val="NWCbodytextArial11ptJustified"/>
      </w:pPr>
      <w:r w:rsidRPr="007E7A4A">
        <w:t xml:space="preserve">These industries account for </w:t>
      </w:r>
      <w:r w:rsidR="006013FD" w:rsidRPr="007E7A4A">
        <w:t>33.75</w:t>
      </w:r>
      <w:r w:rsidRPr="007E7A4A">
        <w:t xml:space="preserve">% of total employment. Given that these industries are disproportionately award reliant, and therefore lower paid and highly feminised, an increase in minimum wages will promote gender pay equity.  </w:t>
      </w:r>
    </w:p>
    <w:p w14:paraId="04CC7CDD" w14:textId="77777777" w:rsidR="005A2CE4" w:rsidRPr="003B1076" w:rsidRDefault="005A2CE4" w:rsidP="005A2CE4">
      <w:pPr>
        <w:pStyle w:val="Heading1"/>
        <w:spacing w:after="240"/>
        <w:rPr>
          <w:rFonts w:asciiTheme="minorHAnsi" w:hAnsiTheme="minorHAnsi" w:cstheme="minorHAnsi"/>
          <w:b/>
          <w:sz w:val="26"/>
          <w:szCs w:val="26"/>
        </w:rPr>
      </w:pPr>
      <w:bookmarkStart w:id="14" w:name="_Toc2688646"/>
      <w:bookmarkStart w:id="15" w:name="_Toc411933294"/>
      <w:bookmarkStart w:id="16" w:name="_Toc442256138"/>
      <w:bookmarkStart w:id="17" w:name="_Toc442256140"/>
      <w:r w:rsidRPr="003B1076">
        <w:rPr>
          <w:rFonts w:ascii="Arial" w:hAnsi="Arial" w:cs="Arial"/>
        </w:rPr>
        <w:t>Economic factors</w:t>
      </w:r>
      <w:r w:rsidRPr="003B1076">
        <w:rPr>
          <w:rStyle w:val="FootnoteReference"/>
          <w:rFonts w:asciiTheme="minorHAnsi" w:hAnsiTheme="minorHAnsi" w:cstheme="minorHAnsi"/>
          <w:b/>
          <w:sz w:val="26"/>
          <w:szCs w:val="26"/>
        </w:rPr>
        <w:footnoteReference w:id="15"/>
      </w:r>
      <w:bookmarkEnd w:id="14"/>
      <w:r w:rsidRPr="003B1076">
        <w:rPr>
          <w:rFonts w:asciiTheme="minorHAnsi" w:hAnsiTheme="minorHAnsi" w:cstheme="minorHAnsi"/>
          <w:b/>
          <w:sz w:val="26"/>
          <w:szCs w:val="26"/>
        </w:rPr>
        <w:t xml:space="preserve"> </w:t>
      </w:r>
    </w:p>
    <w:p w14:paraId="33DEEEC5" w14:textId="7DE4B379" w:rsidR="005A2CE4" w:rsidRPr="00E60F94" w:rsidRDefault="005A2CE4" w:rsidP="00B00A90">
      <w:pPr>
        <w:spacing w:before="120" w:after="240" w:line="360" w:lineRule="auto"/>
        <w:jc w:val="both"/>
        <w:rPr>
          <w:rFonts w:ascii="Arial" w:hAnsi="Arial" w:cs="Arial"/>
          <w:sz w:val="22"/>
          <w:szCs w:val="22"/>
        </w:rPr>
      </w:pPr>
      <w:r w:rsidRPr="00E60F94">
        <w:rPr>
          <w:rFonts w:ascii="Arial" w:hAnsi="Arial" w:cs="Arial"/>
          <w:sz w:val="22"/>
          <w:szCs w:val="22"/>
        </w:rPr>
        <w:t>Australian Gross Domestic Product rose 2.</w:t>
      </w:r>
      <w:r>
        <w:rPr>
          <w:rFonts w:ascii="Arial" w:hAnsi="Arial" w:cs="Arial"/>
          <w:sz w:val="22"/>
          <w:szCs w:val="22"/>
        </w:rPr>
        <w:t>8</w:t>
      </w:r>
      <w:r w:rsidRPr="00E60F94">
        <w:rPr>
          <w:rFonts w:ascii="Arial" w:hAnsi="Arial" w:cs="Arial"/>
          <w:sz w:val="22"/>
          <w:szCs w:val="22"/>
        </w:rPr>
        <w:t>% in 201</w:t>
      </w:r>
      <w:r>
        <w:rPr>
          <w:rFonts w:ascii="Arial" w:hAnsi="Arial" w:cs="Arial"/>
          <w:sz w:val="22"/>
          <w:szCs w:val="22"/>
        </w:rPr>
        <w:t>7</w:t>
      </w:r>
      <w:r w:rsidR="002F3806">
        <w:rPr>
          <w:rFonts w:ascii="Arial" w:hAnsi="Arial" w:cs="Arial"/>
          <w:sz w:val="22"/>
          <w:szCs w:val="22"/>
        </w:rPr>
        <w:t>–</w:t>
      </w:r>
      <w:r w:rsidRPr="00E60F94">
        <w:rPr>
          <w:rFonts w:ascii="Arial" w:hAnsi="Arial" w:cs="Arial"/>
          <w:sz w:val="22"/>
          <w:szCs w:val="22"/>
        </w:rPr>
        <w:t>1</w:t>
      </w:r>
      <w:r>
        <w:rPr>
          <w:rFonts w:ascii="Arial" w:hAnsi="Arial" w:cs="Arial"/>
          <w:sz w:val="22"/>
          <w:szCs w:val="22"/>
        </w:rPr>
        <w:t>8</w:t>
      </w:r>
      <w:r w:rsidRPr="00E60F94">
        <w:rPr>
          <w:rFonts w:ascii="Arial" w:hAnsi="Arial" w:cs="Arial"/>
          <w:sz w:val="22"/>
          <w:szCs w:val="22"/>
        </w:rPr>
        <w:t xml:space="preserve">, </w:t>
      </w:r>
      <w:r>
        <w:rPr>
          <w:rFonts w:ascii="Arial" w:hAnsi="Arial" w:cs="Arial"/>
          <w:sz w:val="22"/>
          <w:szCs w:val="22"/>
        </w:rPr>
        <w:t>up</w:t>
      </w:r>
      <w:r w:rsidRPr="00E60F94">
        <w:rPr>
          <w:rFonts w:ascii="Arial" w:hAnsi="Arial" w:cs="Arial"/>
          <w:sz w:val="22"/>
          <w:szCs w:val="22"/>
        </w:rPr>
        <w:t xml:space="preserve"> from 2.</w:t>
      </w:r>
      <w:r>
        <w:rPr>
          <w:rFonts w:ascii="Arial" w:hAnsi="Arial" w:cs="Arial"/>
          <w:sz w:val="22"/>
          <w:szCs w:val="22"/>
        </w:rPr>
        <w:t>3</w:t>
      </w:r>
      <w:r w:rsidRPr="00E60F94">
        <w:rPr>
          <w:rFonts w:ascii="Arial" w:hAnsi="Arial" w:cs="Arial"/>
          <w:sz w:val="22"/>
          <w:szCs w:val="22"/>
        </w:rPr>
        <w:t>% growth in the previous year.</w:t>
      </w:r>
      <w:r>
        <w:rPr>
          <w:rFonts w:ascii="Arial" w:hAnsi="Arial" w:cs="Arial"/>
          <w:sz w:val="22"/>
          <w:szCs w:val="22"/>
        </w:rPr>
        <w:t xml:space="preserve"> </w:t>
      </w:r>
      <w:r w:rsidRPr="00E60F94">
        <w:rPr>
          <w:rFonts w:ascii="Arial" w:hAnsi="Arial" w:cs="Arial"/>
          <w:sz w:val="22"/>
          <w:szCs w:val="22"/>
        </w:rPr>
        <w:t>The</w:t>
      </w:r>
      <w:r>
        <w:rPr>
          <w:rFonts w:ascii="Arial" w:hAnsi="Arial" w:cs="Arial"/>
          <w:sz w:val="22"/>
          <w:szCs w:val="22"/>
        </w:rPr>
        <w:t xml:space="preserve"> </w:t>
      </w:r>
      <w:r w:rsidRPr="00E60F94">
        <w:rPr>
          <w:rFonts w:ascii="Arial" w:hAnsi="Arial" w:cs="Arial"/>
          <w:sz w:val="22"/>
          <w:szCs w:val="22"/>
        </w:rPr>
        <w:t>Australian</w:t>
      </w:r>
      <w:r>
        <w:rPr>
          <w:rFonts w:ascii="Arial" w:hAnsi="Arial" w:cs="Arial"/>
          <w:sz w:val="22"/>
          <w:szCs w:val="22"/>
        </w:rPr>
        <w:t xml:space="preserve"> Government expects the national</w:t>
      </w:r>
      <w:r w:rsidRPr="00E60F94">
        <w:rPr>
          <w:rFonts w:ascii="Arial" w:hAnsi="Arial" w:cs="Arial"/>
          <w:sz w:val="22"/>
          <w:szCs w:val="22"/>
        </w:rPr>
        <w:t xml:space="preserve"> economy to expand </w:t>
      </w:r>
      <w:r>
        <w:rPr>
          <w:rFonts w:ascii="Arial" w:hAnsi="Arial" w:cs="Arial"/>
          <w:sz w:val="22"/>
          <w:szCs w:val="22"/>
        </w:rPr>
        <w:t>in line with its estimated potential</w:t>
      </w:r>
      <w:r w:rsidRPr="00E60F94">
        <w:rPr>
          <w:rFonts w:ascii="Arial" w:hAnsi="Arial" w:cs="Arial"/>
          <w:sz w:val="22"/>
          <w:szCs w:val="22"/>
        </w:rPr>
        <w:t xml:space="preserve"> over the next few years, with the </w:t>
      </w:r>
      <w:r>
        <w:rPr>
          <w:rFonts w:ascii="Arial" w:hAnsi="Arial" w:cs="Arial"/>
          <w:sz w:val="22"/>
          <w:szCs w:val="22"/>
        </w:rPr>
        <w:t>transition</w:t>
      </w:r>
      <w:r w:rsidRPr="00E60F94">
        <w:rPr>
          <w:rFonts w:ascii="Arial" w:hAnsi="Arial" w:cs="Arial"/>
          <w:sz w:val="22"/>
          <w:szCs w:val="22"/>
        </w:rPr>
        <w:t xml:space="preserve"> from the end of the investment phase of the mining boom </w:t>
      </w:r>
      <w:r w:rsidRPr="00EB234E">
        <w:rPr>
          <w:rFonts w:ascii="Arial" w:hAnsi="Arial" w:cs="Arial"/>
          <w:sz w:val="22"/>
          <w:szCs w:val="22"/>
        </w:rPr>
        <w:t>to broader-based sources of growth progress</w:t>
      </w:r>
      <w:r>
        <w:rPr>
          <w:rFonts w:ascii="Arial" w:hAnsi="Arial" w:cs="Arial"/>
          <w:sz w:val="22"/>
          <w:szCs w:val="22"/>
        </w:rPr>
        <w:t>ing</w:t>
      </w:r>
      <w:r w:rsidRPr="00EB234E">
        <w:rPr>
          <w:rFonts w:ascii="Arial" w:hAnsi="Arial" w:cs="Arial"/>
          <w:sz w:val="22"/>
          <w:szCs w:val="22"/>
        </w:rPr>
        <w:t xml:space="preserve"> as expected</w:t>
      </w:r>
      <w:r w:rsidRPr="00E60F94">
        <w:rPr>
          <w:rFonts w:ascii="Arial" w:hAnsi="Arial" w:cs="Arial"/>
          <w:sz w:val="22"/>
          <w:szCs w:val="22"/>
        </w:rPr>
        <w:t>.</w:t>
      </w:r>
      <w:r>
        <w:rPr>
          <w:rFonts w:ascii="Arial" w:hAnsi="Arial" w:cs="Arial"/>
          <w:sz w:val="22"/>
          <w:szCs w:val="22"/>
        </w:rPr>
        <w:t xml:space="preserve"> </w:t>
      </w:r>
      <w:r w:rsidR="00B00A90">
        <w:rPr>
          <w:rFonts w:ascii="Arial" w:hAnsi="Arial" w:cs="Arial"/>
          <w:sz w:val="22"/>
          <w:szCs w:val="22"/>
        </w:rPr>
        <w:br/>
      </w:r>
      <w:r>
        <w:rPr>
          <w:rFonts w:ascii="Arial" w:hAnsi="Arial" w:cs="Arial"/>
          <w:sz w:val="22"/>
          <w:szCs w:val="22"/>
        </w:rPr>
        <w:t>R</w:t>
      </w:r>
      <w:r w:rsidRPr="00E60F94">
        <w:rPr>
          <w:rFonts w:ascii="Arial" w:hAnsi="Arial" w:cs="Arial"/>
          <w:sz w:val="22"/>
          <w:szCs w:val="22"/>
        </w:rPr>
        <w:t xml:space="preserve">eal GDP is forecast to grow by </w:t>
      </w:r>
      <w:r w:rsidRPr="00EB234E">
        <w:rPr>
          <w:rFonts w:ascii="Arial" w:hAnsi="Arial" w:cs="Arial"/>
          <w:sz w:val="22"/>
          <w:szCs w:val="22"/>
        </w:rPr>
        <w:t>2¾</w:t>
      </w:r>
      <w:r>
        <w:rPr>
          <w:rFonts w:ascii="Arial" w:hAnsi="Arial" w:cs="Arial"/>
          <w:sz w:val="22"/>
          <w:szCs w:val="22"/>
        </w:rPr>
        <w:t>%</w:t>
      </w:r>
      <w:r w:rsidRPr="00E60F94">
        <w:rPr>
          <w:rFonts w:ascii="Arial" w:hAnsi="Arial" w:cs="Arial"/>
          <w:sz w:val="22"/>
          <w:szCs w:val="22"/>
        </w:rPr>
        <w:t xml:space="preserve"> in 201</w:t>
      </w:r>
      <w:r>
        <w:rPr>
          <w:rFonts w:ascii="Arial" w:hAnsi="Arial" w:cs="Arial"/>
          <w:sz w:val="22"/>
          <w:szCs w:val="22"/>
        </w:rPr>
        <w:t>8</w:t>
      </w:r>
      <w:r w:rsidR="002F3806">
        <w:rPr>
          <w:rFonts w:ascii="Arial" w:hAnsi="Arial" w:cs="Arial"/>
          <w:sz w:val="22"/>
          <w:szCs w:val="22"/>
        </w:rPr>
        <w:t>–</w:t>
      </w:r>
      <w:r w:rsidRPr="00E60F94">
        <w:rPr>
          <w:rFonts w:ascii="Arial" w:hAnsi="Arial" w:cs="Arial"/>
          <w:sz w:val="22"/>
          <w:szCs w:val="22"/>
        </w:rPr>
        <w:t>1</w:t>
      </w:r>
      <w:r>
        <w:rPr>
          <w:rFonts w:ascii="Arial" w:hAnsi="Arial" w:cs="Arial"/>
          <w:sz w:val="22"/>
          <w:szCs w:val="22"/>
        </w:rPr>
        <w:t>9</w:t>
      </w:r>
      <w:r w:rsidRPr="00E60F94">
        <w:rPr>
          <w:rFonts w:ascii="Arial" w:hAnsi="Arial" w:cs="Arial"/>
          <w:sz w:val="22"/>
          <w:szCs w:val="22"/>
        </w:rPr>
        <w:t xml:space="preserve"> and 3</w:t>
      </w:r>
      <w:r>
        <w:rPr>
          <w:rFonts w:ascii="Arial" w:hAnsi="Arial" w:cs="Arial"/>
          <w:sz w:val="22"/>
          <w:szCs w:val="22"/>
        </w:rPr>
        <w:t>%</w:t>
      </w:r>
      <w:r w:rsidRPr="00E60F94">
        <w:rPr>
          <w:rFonts w:ascii="Arial" w:hAnsi="Arial" w:cs="Arial"/>
          <w:sz w:val="22"/>
          <w:szCs w:val="22"/>
        </w:rPr>
        <w:t xml:space="preserve"> in 201</w:t>
      </w:r>
      <w:r>
        <w:rPr>
          <w:rFonts w:ascii="Arial" w:hAnsi="Arial" w:cs="Arial"/>
          <w:sz w:val="22"/>
          <w:szCs w:val="22"/>
        </w:rPr>
        <w:t>9</w:t>
      </w:r>
      <w:r w:rsidR="002F3806">
        <w:rPr>
          <w:rFonts w:ascii="Arial" w:hAnsi="Arial" w:cs="Arial"/>
          <w:sz w:val="22"/>
          <w:szCs w:val="22"/>
        </w:rPr>
        <w:t>–</w:t>
      </w:r>
      <w:r>
        <w:rPr>
          <w:rFonts w:ascii="Arial" w:hAnsi="Arial" w:cs="Arial"/>
          <w:sz w:val="22"/>
          <w:szCs w:val="22"/>
        </w:rPr>
        <w:t xml:space="preserve">20, supported by a resurgence in mining investment as well as </w:t>
      </w:r>
      <w:r w:rsidRPr="00E60F94">
        <w:rPr>
          <w:rFonts w:ascii="Arial" w:hAnsi="Arial" w:cs="Arial"/>
          <w:sz w:val="22"/>
          <w:szCs w:val="22"/>
        </w:rPr>
        <w:t>non-mining business in</w:t>
      </w:r>
      <w:r>
        <w:rPr>
          <w:rFonts w:ascii="Arial" w:hAnsi="Arial" w:cs="Arial"/>
          <w:sz w:val="22"/>
          <w:szCs w:val="22"/>
        </w:rPr>
        <w:t>vestment, household consumption</w:t>
      </w:r>
      <w:r w:rsidRPr="00E60F94">
        <w:rPr>
          <w:rFonts w:ascii="Arial" w:hAnsi="Arial" w:cs="Arial"/>
          <w:sz w:val="22"/>
          <w:szCs w:val="22"/>
        </w:rPr>
        <w:t xml:space="preserve"> and exports.</w:t>
      </w:r>
    </w:p>
    <w:p w14:paraId="0A7AD629" w14:textId="77777777" w:rsidR="005A2CE4" w:rsidRDefault="005A2CE4" w:rsidP="00B00A90">
      <w:pPr>
        <w:spacing w:before="120" w:after="240" w:line="360" w:lineRule="auto"/>
        <w:jc w:val="both"/>
        <w:rPr>
          <w:rFonts w:ascii="Arial" w:hAnsi="Arial" w:cs="Arial"/>
          <w:sz w:val="22"/>
          <w:szCs w:val="22"/>
        </w:rPr>
      </w:pPr>
      <w:r>
        <w:rPr>
          <w:rFonts w:ascii="Arial" w:hAnsi="Arial" w:cs="Arial"/>
          <w:sz w:val="22"/>
          <w:szCs w:val="22"/>
        </w:rPr>
        <w:t>The Australian Government expects g</w:t>
      </w:r>
      <w:r w:rsidRPr="00EB234E">
        <w:rPr>
          <w:rFonts w:ascii="Arial" w:hAnsi="Arial" w:cs="Arial"/>
          <w:sz w:val="22"/>
          <w:szCs w:val="22"/>
        </w:rPr>
        <w:t>lobal growth to remain solid over the forecast period</w:t>
      </w:r>
      <w:r>
        <w:rPr>
          <w:rFonts w:ascii="Arial" w:hAnsi="Arial" w:cs="Arial"/>
          <w:sz w:val="22"/>
          <w:szCs w:val="22"/>
        </w:rPr>
        <w:t xml:space="preserve">, </w:t>
      </w:r>
      <w:r w:rsidR="00B00A90">
        <w:rPr>
          <w:rFonts w:ascii="Arial" w:hAnsi="Arial" w:cs="Arial"/>
          <w:sz w:val="22"/>
          <w:szCs w:val="22"/>
        </w:rPr>
        <w:br/>
      </w:r>
      <w:r>
        <w:rPr>
          <w:rFonts w:ascii="Arial" w:hAnsi="Arial" w:cs="Arial"/>
          <w:sz w:val="22"/>
          <w:szCs w:val="22"/>
        </w:rPr>
        <w:t xml:space="preserve">at </w:t>
      </w:r>
      <w:r w:rsidRPr="00EB234E">
        <w:rPr>
          <w:rFonts w:ascii="Arial" w:hAnsi="Arial" w:cs="Arial"/>
          <w:sz w:val="22"/>
          <w:szCs w:val="22"/>
        </w:rPr>
        <w:t>3¾</w:t>
      </w:r>
      <w:r>
        <w:rPr>
          <w:rFonts w:ascii="Arial" w:hAnsi="Arial" w:cs="Arial"/>
          <w:sz w:val="22"/>
          <w:szCs w:val="22"/>
        </w:rPr>
        <w:t>%</w:t>
      </w:r>
      <w:r w:rsidRPr="00EB234E">
        <w:rPr>
          <w:rFonts w:ascii="Arial" w:hAnsi="Arial" w:cs="Arial"/>
          <w:sz w:val="22"/>
          <w:szCs w:val="22"/>
        </w:rPr>
        <w:t xml:space="preserve"> in each of the next two years, faster than the average rate of growth over the past decade.</w:t>
      </w:r>
      <w:r>
        <w:rPr>
          <w:rFonts w:ascii="Arial" w:hAnsi="Arial" w:cs="Arial"/>
          <w:sz w:val="22"/>
          <w:szCs w:val="22"/>
        </w:rPr>
        <w:t xml:space="preserve"> </w:t>
      </w:r>
      <w:r w:rsidRPr="00EB234E">
        <w:rPr>
          <w:rFonts w:ascii="Arial" w:hAnsi="Arial" w:cs="Arial"/>
          <w:sz w:val="22"/>
          <w:szCs w:val="22"/>
        </w:rPr>
        <w:t>Major trading partner growth is forecast to be 4</w:t>
      </w:r>
      <w:r>
        <w:rPr>
          <w:rFonts w:ascii="Arial" w:hAnsi="Arial" w:cs="Arial"/>
          <w:sz w:val="22"/>
          <w:szCs w:val="22"/>
        </w:rPr>
        <w:t>%</w:t>
      </w:r>
      <w:r w:rsidRPr="00EB234E">
        <w:rPr>
          <w:rFonts w:ascii="Arial" w:hAnsi="Arial" w:cs="Arial"/>
          <w:sz w:val="22"/>
          <w:szCs w:val="22"/>
        </w:rPr>
        <w:t xml:space="preserve"> in 2019 and 2020.</w:t>
      </w:r>
      <w:r>
        <w:rPr>
          <w:rFonts w:ascii="Arial" w:hAnsi="Arial" w:cs="Arial"/>
          <w:sz w:val="22"/>
          <w:szCs w:val="22"/>
        </w:rPr>
        <w:t xml:space="preserve"> However, t</w:t>
      </w:r>
      <w:r w:rsidRPr="00EB234E">
        <w:rPr>
          <w:rFonts w:ascii="Arial" w:hAnsi="Arial" w:cs="Arial"/>
          <w:sz w:val="22"/>
          <w:szCs w:val="22"/>
        </w:rPr>
        <w:t>here are a range of risks to the international outlook</w:t>
      </w:r>
      <w:r>
        <w:rPr>
          <w:rFonts w:ascii="Arial" w:hAnsi="Arial" w:cs="Arial"/>
          <w:sz w:val="22"/>
          <w:szCs w:val="22"/>
        </w:rPr>
        <w:t>, including:</w:t>
      </w:r>
    </w:p>
    <w:p w14:paraId="25768729" w14:textId="5F52DF35" w:rsidR="005A2CE4" w:rsidRDefault="005A2CE4" w:rsidP="00B00A90">
      <w:pPr>
        <w:pStyle w:val="ListParagraph"/>
        <w:numPr>
          <w:ilvl w:val="0"/>
          <w:numId w:val="15"/>
        </w:numPr>
        <w:spacing w:before="120" w:after="240" w:line="360" w:lineRule="auto"/>
        <w:jc w:val="both"/>
        <w:rPr>
          <w:rFonts w:ascii="Arial" w:hAnsi="Arial" w:cs="Arial"/>
        </w:rPr>
      </w:pPr>
      <w:r w:rsidRPr="001A2AA7">
        <w:rPr>
          <w:rFonts w:ascii="Arial" w:hAnsi="Arial" w:cs="Arial"/>
        </w:rPr>
        <w:t xml:space="preserve">Trade protection measures already announced or imposed by the United States and China are forecast to have a negative effect on activity in those countries. </w:t>
      </w:r>
    </w:p>
    <w:p w14:paraId="4F2C0670" w14:textId="77777777" w:rsidR="005A2CE4" w:rsidRDefault="005A2CE4" w:rsidP="00B00A90">
      <w:pPr>
        <w:pStyle w:val="ListParagraph"/>
        <w:numPr>
          <w:ilvl w:val="0"/>
          <w:numId w:val="15"/>
        </w:numPr>
        <w:spacing w:before="120" w:after="240" w:line="360" w:lineRule="auto"/>
        <w:jc w:val="both"/>
        <w:rPr>
          <w:rFonts w:ascii="Arial" w:hAnsi="Arial" w:cs="Arial"/>
        </w:rPr>
      </w:pPr>
      <w:r w:rsidRPr="001A2AA7">
        <w:rPr>
          <w:rFonts w:ascii="Arial" w:hAnsi="Arial" w:cs="Arial"/>
        </w:rPr>
        <w:t>Additional tariffs would be expected to result in weaker growth</w:t>
      </w:r>
      <w:r>
        <w:rPr>
          <w:rFonts w:ascii="Arial" w:hAnsi="Arial" w:cs="Arial"/>
        </w:rPr>
        <w:t>,</w:t>
      </w:r>
      <w:r w:rsidRPr="001A2AA7">
        <w:rPr>
          <w:rFonts w:ascii="Arial" w:hAnsi="Arial" w:cs="Arial"/>
        </w:rPr>
        <w:t xml:space="preserve"> though a resolution of current disputes could result in stronger growth than forecast. </w:t>
      </w:r>
    </w:p>
    <w:p w14:paraId="66FFC8A8" w14:textId="77777777" w:rsidR="005A2CE4" w:rsidRDefault="005A2CE4" w:rsidP="00B00A90">
      <w:pPr>
        <w:pStyle w:val="ListParagraph"/>
        <w:numPr>
          <w:ilvl w:val="0"/>
          <w:numId w:val="15"/>
        </w:numPr>
        <w:spacing w:before="120" w:after="240" w:line="360" w:lineRule="auto"/>
        <w:jc w:val="both"/>
        <w:rPr>
          <w:rFonts w:ascii="Arial" w:hAnsi="Arial" w:cs="Arial"/>
        </w:rPr>
      </w:pPr>
      <w:r w:rsidRPr="001A2AA7">
        <w:rPr>
          <w:rFonts w:ascii="Arial" w:hAnsi="Arial" w:cs="Arial"/>
        </w:rPr>
        <w:t xml:space="preserve">Geopolitical uncertainty and vulnerabilities in emerging economies remain a concern for the international outlook, especially to the extent that they provoke broader financial market instability. </w:t>
      </w:r>
    </w:p>
    <w:p w14:paraId="7DC1CA4A" w14:textId="77777777" w:rsidR="005A2CE4" w:rsidRPr="001A2AA7" w:rsidRDefault="005A2CE4" w:rsidP="00B00A90">
      <w:pPr>
        <w:pStyle w:val="ListParagraph"/>
        <w:numPr>
          <w:ilvl w:val="0"/>
          <w:numId w:val="15"/>
        </w:numPr>
        <w:spacing w:before="120" w:after="240" w:line="360" w:lineRule="auto"/>
        <w:jc w:val="both"/>
        <w:rPr>
          <w:rFonts w:ascii="Arial" w:hAnsi="Arial" w:cs="Arial"/>
        </w:rPr>
      </w:pPr>
      <w:r>
        <w:rPr>
          <w:rFonts w:ascii="Arial" w:hAnsi="Arial" w:cs="Arial"/>
        </w:rPr>
        <w:t>U</w:t>
      </w:r>
      <w:r w:rsidRPr="001A2AA7">
        <w:rPr>
          <w:rFonts w:ascii="Arial" w:hAnsi="Arial" w:cs="Arial"/>
        </w:rPr>
        <w:t>ncertainties around the future UK-EU relationship.</w:t>
      </w:r>
    </w:p>
    <w:p w14:paraId="0E7A835B" w14:textId="77A5C593" w:rsidR="005A2CE4" w:rsidRPr="00131079" w:rsidRDefault="005A2CE4" w:rsidP="00B00A90">
      <w:pPr>
        <w:spacing w:before="120" w:after="240" w:line="360" w:lineRule="auto"/>
        <w:jc w:val="both"/>
        <w:rPr>
          <w:rFonts w:ascii="Arial" w:hAnsi="Arial" w:cs="Arial"/>
          <w:sz w:val="22"/>
          <w:szCs w:val="22"/>
        </w:rPr>
      </w:pPr>
      <w:r w:rsidRPr="00131079">
        <w:rPr>
          <w:rFonts w:ascii="Arial" w:hAnsi="Arial" w:cs="Arial"/>
          <w:sz w:val="22"/>
          <w:szCs w:val="22"/>
        </w:rPr>
        <w:t xml:space="preserve">Exports are forecast to grow by </w:t>
      </w:r>
      <w:r>
        <w:rPr>
          <w:rFonts w:ascii="Arial" w:hAnsi="Arial" w:cs="Arial"/>
          <w:sz w:val="22"/>
          <w:szCs w:val="22"/>
        </w:rPr>
        <w:t>2</w:t>
      </w:r>
      <w:r w:rsidRPr="00131079">
        <w:rPr>
          <w:rFonts w:ascii="Arial" w:hAnsi="Arial" w:cs="Arial"/>
          <w:sz w:val="22"/>
          <w:szCs w:val="22"/>
        </w:rPr>
        <w:t>% in 201</w:t>
      </w:r>
      <w:r>
        <w:rPr>
          <w:rFonts w:ascii="Arial" w:hAnsi="Arial" w:cs="Arial"/>
          <w:sz w:val="22"/>
          <w:szCs w:val="22"/>
        </w:rPr>
        <w:t>8</w:t>
      </w:r>
      <w:r w:rsidR="00167B46">
        <w:rPr>
          <w:rFonts w:ascii="Arial" w:hAnsi="Arial" w:cs="Arial"/>
          <w:sz w:val="22"/>
          <w:szCs w:val="22"/>
        </w:rPr>
        <w:t>–</w:t>
      </w:r>
      <w:r w:rsidRPr="00131079">
        <w:rPr>
          <w:rFonts w:ascii="Arial" w:hAnsi="Arial" w:cs="Arial"/>
          <w:sz w:val="22"/>
          <w:szCs w:val="22"/>
        </w:rPr>
        <w:t>1</w:t>
      </w:r>
      <w:r>
        <w:rPr>
          <w:rFonts w:ascii="Arial" w:hAnsi="Arial" w:cs="Arial"/>
          <w:sz w:val="22"/>
          <w:szCs w:val="22"/>
        </w:rPr>
        <w:t>9</w:t>
      </w:r>
      <w:r w:rsidRPr="00131079">
        <w:rPr>
          <w:rFonts w:ascii="Arial" w:hAnsi="Arial" w:cs="Arial"/>
          <w:sz w:val="22"/>
          <w:szCs w:val="22"/>
        </w:rPr>
        <w:t xml:space="preserve"> and </w:t>
      </w:r>
      <w:r>
        <w:rPr>
          <w:rFonts w:ascii="Arial" w:hAnsi="Arial" w:cs="Arial"/>
          <w:sz w:val="22"/>
          <w:szCs w:val="22"/>
        </w:rPr>
        <w:t>3</w:t>
      </w:r>
      <w:r w:rsidRPr="00E60F94">
        <w:rPr>
          <w:rFonts w:ascii="Arial" w:hAnsi="Arial" w:cs="Arial"/>
          <w:sz w:val="22"/>
          <w:szCs w:val="22"/>
        </w:rPr>
        <w:t>½</w:t>
      </w:r>
      <w:r w:rsidRPr="00131079">
        <w:rPr>
          <w:rFonts w:ascii="Arial" w:hAnsi="Arial" w:cs="Arial"/>
          <w:sz w:val="22"/>
          <w:szCs w:val="22"/>
        </w:rPr>
        <w:t>% in 201</w:t>
      </w:r>
      <w:r>
        <w:rPr>
          <w:rFonts w:ascii="Arial" w:hAnsi="Arial" w:cs="Arial"/>
          <w:sz w:val="22"/>
          <w:szCs w:val="22"/>
        </w:rPr>
        <w:t>9</w:t>
      </w:r>
      <w:r w:rsidR="00167B46">
        <w:rPr>
          <w:rFonts w:ascii="Arial" w:hAnsi="Arial" w:cs="Arial"/>
          <w:sz w:val="22"/>
          <w:szCs w:val="22"/>
        </w:rPr>
        <w:t>–</w:t>
      </w:r>
      <w:r>
        <w:rPr>
          <w:rFonts w:ascii="Arial" w:hAnsi="Arial" w:cs="Arial"/>
          <w:sz w:val="22"/>
          <w:szCs w:val="22"/>
        </w:rPr>
        <w:t>20,</w:t>
      </w:r>
      <w:r w:rsidRPr="00131079">
        <w:rPr>
          <w:rFonts w:ascii="Arial" w:hAnsi="Arial" w:cs="Arial"/>
          <w:sz w:val="22"/>
          <w:szCs w:val="22"/>
        </w:rPr>
        <w:t xml:space="preserve"> supported by non-rural commodity exports and services exports.</w:t>
      </w:r>
      <w:r>
        <w:rPr>
          <w:rFonts w:ascii="Arial" w:hAnsi="Arial" w:cs="Arial"/>
          <w:sz w:val="22"/>
          <w:szCs w:val="22"/>
        </w:rPr>
        <w:t xml:space="preserve"> E</w:t>
      </w:r>
      <w:r w:rsidRPr="00F21DC8">
        <w:rPr>
          <w:rFonts w:ascii="Arial" w:hAnsi="Arial" w:cs="Arial"/>
          <w:sz w:val="22"/>
          <w:szCs w:val="22"/>
        </w:rPr>
        <w:t>xports of rural goods are expected to decline, reflecting the impact on agricultural production of drought conditions in Queensland</w:t>
      </w:r>
      <w:r>
        <w:rPr>
          <w:rFonts w:ascii="Arial" w:hAnsi="Arial" w:cs="Arial"/>
          <w:sz w:val="22"/>
          <w:szCs w:val="22"/>
        </w:rPr>
        <w:t>,</w:t>
      </w:r>
      <w:r w:rsidRPr="00F21DC8">
        <w:rPr>
          <w:rFonts w:ascii="Arial" w:hAnsi="Arial" w:cs="Arial"/>
          <w:sz w:val="22"/>
          <w:szCs w:val="22"/>
        </w:rPr>
        <w:t xml:space="preserve"> New South Wales Victoria and South Australia.</w:t>
      </w:r>
      <w:r>
        <w:rPr>
          <w:rFonts w:ascii="Arial" w:hAnsi="Arial" w:cs="Arial"/>
          <w:sz w:val="22"/>
          <w:szCs w:val="22"/>
        </w:rPr>
        <w:t xml:space="preserve"> </w:t>
      </w:r>
      <w:r w:rsidRPr="00F21DC8">
        <w:rPr>
          <w:rFonts w:ascii="Arial" w:hAnsi="Arial" w:cs="Arial"/>
          <w:sz w:val="22"/>
          <w:szCs w:val="22"/>
        </w:rPr>
        <w:t>The decline in rural exports is forecast to subtract around ¼ of a percentage point from real GDP growth in 2018</w:t>
      </w:r>
      <w:r w:rsidR="00167B46">
        <w:rPr>
          <w:rFonts w:ascii="Arial" w:hAnsi="Arial" w:cs="Arial"/>
          <w:sz w:val="22"/>
          <w:szCs w:val="22"/>
        </w:rPr>
        <w:t>–</w:t>
      </w:r>
      <w:r w:rsidRPr="00F21DC8">
        <w:rPr>
          <w:rFonts w:ascii="Arial" w:hAnsi="Arial" w:cs="Arial"/>
          <w:sz w:val="22"/>
          <w:szCs w:val="22"/>
        </w:rPr>
        <w:t>19.</w:t>
      </w:r>
      <w:r>
        <w:rPr>
          <w:rFonts w:ascii="Arial" w:hAnsi="Arial" w:cs="Arial"/>
          <w:sz w:val="22"/>
          <w:szCs w:val="22"/>
        </w:rPr>
        <w:t xml:space="preserve"> </w:t>
      </w:r>
      <w:r w:rsidRPr="00F21DC8">
        <w:rPr>
          <w:rFonts w:ascii="Arial" w:hAnsi="Arial" w:cs="Arial"/>
          <w:sz w:val="22"/>
          <w:szCs w:val="22"/>
        </w:rPr>
        <w:t>An assumption of average seasonal conditions in 2019</w:t>
      </w:r>
      <w:r w:rsidR="00167B46">
        <w:rPr>
          <w:rFonts w:ascii="Arial" w:hAnsi="Arial" w:cs="Arial"/>
          <w:sz w:val="22"/>
          <w:szCs w:val="22"/>
        </w:rPr>
        <w:t>–</w:t>
      </w:r>
      <w:r w:rsidRPr="00F21DC8">
        <w:rPr>
          <w:rFonts w:ascii="Arial" w:hAnsi="Arial" w:cs="Arial"/>
          <w:sz w:val="22"/>
          <w:szCs w:val="22"/>
        </w:rPr>
        <w:t>20 underpins a forecast return to growth in the farm sector.</w:t>
      </w:r>
      <w:r>
        <w:rPr>
          <w:rFonts w:ascii="Arial" w:hAnsi="Arial" w:cs="Arial"/>
          <w:sz w:val="22"/>
          <w:szCs w:val="22"/>
        </w:rPr>
        <w:t xml:space="preserve"> </w:t>
      </w:r>
      <w:r w:rsidRPr="00F21DC8">
        <w:rPr>
          <w:rFonts w:ascii="Arial" w:hAnsi="Arial" w:cs="Arial"/>
          <w:sz w:val="22"/>
          <w:szCs w:val="22"/>
        </w:rPr>
        <w:t>However, the pace of growth of rural exports and farm GDP will depend on how weather conditions evolve.</w:t>
      </w:r>
      <w:r>
        <w:rPr>
          <w:rFonts w:ascii="Arial" w:hAnsi="Arial" w:cs="Arial"/>
          <w:sz w:val="22"/>
          <w:szCs w:val="22"/>
        </w:rPr>
        <w:t xml:space="preserve"> </w:t>
      </w:r>
      <w:r w:rsidRPr="00131079">
        <w:rPr>
          <w:rFonts w:ascii="Arial" w:hAnsi="Arial" w:cs="Arial"/>
          <w:sz w:val="22"/>
          <w:szCs w:val="22"/>
        </w:rPr>
        <w:t>Services export volumes, including tourism and education services, continue to be supported by a lower exchange rate and rising demand from Asia.</w:t>
      </w:r>
    </w:p>
    <w:p w14:paraId="687B882A" w14:textId="30F9E39E" w:rsidR="005A2CE4" w:rsidRPr="00131079" w:rsidRDefault="005A2CE4" w:rsidP="00B00A90">
      <w:pPr>
        <w:spacing w:before="120" w:after="240" w:line="360" w:lineRule="auto"/>
        <w:jc w:val="both"/>
        <w:rPr>
          <w:rFonts w:ascii="Arial" w:hAnsi="Arial" w:cs="Arial"/>
          <w:sz w:val="22"/>
          <w:szCs w:val="22"/>
        </w:rPr>
      </w:pPr>
      <w:r w:rsidRPr="00131079">
        <w:rPr>
          <w:rFonts w:ascii="Arial" w:hAnsi="Arial" w:cs="Arial"/>
          <w:sz w:val="22"/>
          <w:szCs w:val="22"/>
        </w:rPr>
        <w:t xml:space="preserve">Business investment </w:t>
      </w:r>
      <w:r>
        <w:rPr>
          <w:rFonts w:ascii="Arial" w:hAnsi="Arial" w:cs="Arial"/>
          <w:sz w:val="22"/>
          <w:szCs w:val="22"/>
        </w:rPr>
        <w:t>rose</w:t>
      </w:r>
      <w:r w:rsidRPr="00131079">
        <w:rPr>
          <w:rFonts w:ascii="Arial" w:hAnsi="Arial" w:cs="Arial"/>
          <w:sz w:val="22"/>
          <w:szCs w:val="22"/>
        </w:rPr>
        <w:t xml:space="preserve"> </w:t>
      </w:r>
      <w:r>
        <w:rPr>
          <w:rFonts w:ascii="Arial" w:hAnsi="Arial" w:cs="Arial"/>
          <w:sz w:val="22"/>
          <w:szCs w:val="22"/>
        </w:rPr>
        <w:t>6</w:t>
      </w:r>
      <w:r w:rsidRPr="00131079">
        <w:rPr>
          <w:rFonts w:ascii="Arial" w:hAnsi="Arial" w:cs="Arial"/>
          <w:sz w:val="22"/>
          <w:szCs w:val="22"/>
        </w:rPr>
        <w:t>% in 201</w:t>
      </w:r>
      <w:r>
        <w:rPr>
          <w:rFonts w:ascii="Arial" w:hAnsi="Arial" w:cs="Arial"/>
          <w:sz w:val="22"/>
          <w:szCs w:val="22"/>
        </w:rPr>
        <w:t>7</w:t>
      </w:r>
      <w:r w:rsidR="00167B46">
        <w:rPr>
          <w:rFonts w:ascii="Arial" w:hAnsi="Arial" w:cs="Arial"/>
          <w:sz w:val="22"/>
          <w:szCs w:val="22"/>
        </w:rPr>
        <w:t>–</w:t>
      </w:r>
      <w:r w:rsidRPr="00131079">
        <w:rPr>
          <w:rFonts w:ascii="Arial" w:hAnsi="Arial" w:cs="Arial"/>
          <w:sz w:val="22"/>
          <w:szCs w:val="22"/>
        </w:rPr>
        <w:t>1</w:t>
      </w:r>
      <w:r>
        <w:rPr>
          <w:rFonts w:ascii="Arial" w:hAnsi="Arial" w:cs="Arial"/>
          <w:sz w:val="22"/>
          <w:szCs w:val="22"/>
        </w:rPr>
        <w:t>8, despite mining</w:t>
      </w:r>
      <w:r w:rsidRPr="00131079">
        <w:rPr>
          <w:rFonts w:ascii="Arial" w:hAnsi="Arial" w:cs="Arial"/>
          <w:sz w:val="22"/>
          <w:szCs w:val="22"/>
        </w:rPr>
        <w:t xml:space="preserve"> investment continu</w:t>
      </w:r>
      <w:r>
        <w:rPr>
          <w:rFonts w:ascii="Arial" w:hAnsi="Arial" w:cs="Arial"/>
          <w:sz w:val="22"/>
          <w:szCs w:val="22"/>
        </w:rPr>
        <w:t>ing</w:t>
      </w:r>
      <w:r w:rsidRPr="00131079">
        <w:rPr>
          <w:rFonts w:ascii="Arial" w:hAnsi="Arial" w:cs="Arial"/>
          <w:sz w:val="22"/>
          <w:szCs w:val="22"/>
        </w:rPr>
        <w:t xml:space="preserve"> to decline.</w:t>
      </w:r>
      <w:r>
        <w:rPr>
          <w:rFonts w:ascii="Arial" w:hAnsi="Arial" w:cs="Arial"/>
          <w:sz w:val="22"/>
          <w:szCs w:val="22"/>
        </w:rPr>
        <w:t xml:space="preserve"> </w:t>
      </w:r>
      <w:r w:rsidR="00B00A90">
        <w:rPr>
          <w:rFonts w:ascii="Arial" w:hAnsi="Arial" w:cs="Arial"/>
          <w:sz w:val="22"/>
          <w:szCs w:val="22"/>
        </w:rPr>
        <w:br/>
      </w:r>
      <w:r w:rsidRPr="00131079">
        <w:rPr>
          <w:rFonts w:ascii="Arial" w:hAnsi="Arial" w:cs="Arial"/>
          <w:sz w:val="22"/>
          <w:szCs w:val="22"/>
        </w:rPr>
        <w:t>The outlook</w:t>
      </w:r>
      <w:r>
        <w:rPr>
          <w:rFonts w:ascii="Arial" w:hAnsi="Arial" w:cs="Arial"/>
          <w:sz w:val="22"/>
          <w:szCs w:val="22"/>
        </w:rPr>
        <w:t xml:space="preserve"> remains positive </w:t>
      </w:r>
      <w:r w:rsidRPr="00131079">
        <w:rPr>
          <w:rFonts w:ascii="Arial" w:hAnsi="Arial" w:cs="Arial"/>
          <w:sz w:val="22"/>
          <w:szCs w:val="22"/>
        </w:rPr>
        <w:t xml:space="preserve">for business investment, with </w:t>
      </w:r>
      <w:r>
        <w:rPr>
          <w:rFonts w:ascii="Arial" w:hAnsi="Arial" w:cs="Arial"/>
          <w:sz w:val="22"/>
          <w:szCs w:val="22"/>
        </w:rPr>
        <w:t>growth</w:t>
      </w:r>
      <w:r w:rsidRPr="00131079">
        <w:rPr>
          <w:rFonts w:ascii="Arial" w:hAnsi="Arial" w:cs="Arial"/>
          <w:sz w:val="22"/>
          <w:szCs w:val="22"/>
        </w:rPr>
        <w:t xml:space="preserve"> of </w:t>
      </w:r>
      <w:r>
        <w:rPr>
          <w:rFonts w:ascii="Arial" w:hAnsi="Arial" w:cs="Arial"/>
          <w:sz w:val="22"/>
          <w:szCs w:val="22"/>
        </w:rPr>
        <w:t>1</w:t>
      </w:r>
      <w:r w:rsidRPr="00131079">
        <w:rPr>
          <w:rFonts w:ascii="Arial" w:hAnsi="Arial" w:cs="Arial"/>
          <w:sz w:val="22"/>
          <w:szCs w:val="22"/>
        </w:rPr>
        <w:t>% forecast for 201</w:t>
      </w:r>
      <w:r>
        <w:rPr>
          <w:rFonts w:ascii="Arial" w:hAnsi="Arial" w:cs="Arial"/>
          <w:sz w:val="22"/>
          <w:szCs w:val="22"/>
        </w:rPr>
        <w:t>8</w:t>
      </w:r>
      <w:r w:rsidR="00167B46">
        <w:rPr>
          <w:rFonts w:ascii="Arial" w:hAnsi="Arial" w:cs="Arial"/>
          <w:sz w:val="22"/>
          <w:szCs w:val="22"/>
        </w:rPr>
        <w:t>–</w:t>
      </w:r>
      <w:r w:rsidRPr="00131079">
        <w:rPr>
          <w:rFonts w:ascii="Arial" w:hAnsi="Arial" w:cs="Arial"/>
          <w:sz w:val="22"/>
          <w:szCs w:val="22"/>
        </w:rPr>
        <w:t>1</w:t>
      </w:r>
      <w:r>
        <w:rPr>
          <w:rFonts w:ascii="Arial" w:hAnsi="Arial" w:cs="Arial"/>
          <w:sz w:val="22"/>
          <w:szCs w:val="22"/>
        </w:rPr>
        <w:t>9,</w:t>
      </w:r>
      <w:r w:rsidRPr="00131079">
        <w:rPr>
          <w:rFonts w:ascii="Arial" w:hAnsi="Arial" w:cs="Arial"/>
          <w:sz w:val="22"/>
          <w:szCs w:val="22"/>
        </w:rPr>
        <w:t xml:space="preserve"> followed by </w:t>
      </w:r>
      <w:r>
        <w:rPr>
          <w:rFonts w:ascii="Arial" w:hAnsi="Arial" w:cs="Arial"/>
          <w:sz w:val="22"/>
          <w:szCs w:val="22"/>
        </w:rPr>
        <w:t>5% growth</w:t>
      </w:r>
      <w:r w:rsidRPr="00131079">
        <w:rPr>
          <w:rFonts w:ascii="Arial" w:hAnsi="Arial" w:cs="Arial"/>
          <w:sz w:val="22"/>
          <w:szCs w:val="22"/>
        </w:rPr>
        <w:t xml:space="preserve"> in 201</w:t>
      </w:r>
      <w:r>
        <w:rPr>
          <w:rFonts w:ascii="Arial" w:hAnsi="Arial" w:cs="Arial"/>
          <w:sz w:val="22"/>
          <w:szCs w:val="22"/>
        </w:rPr>
        <w:t>9</w:t>
      </w:r>
      <w:r w:rsidR="00167B46">
        <w:rPr>
          <w:rFonts w:ascii="Arial" w:hAnsi="Arial" w:cs="Arial"/>
          <w:sz w:val="22"/>
          <w:szCs w:val="22"/>
        </w:rPr>
        <w:t>–</w:t>
      </w:r>
      <w:r>
        <w:rPr>
          <w:rFonts w:ascii="Arial" w:hAnsi="Arial" w:cs="Arial"/>
          <w:sz w:val="22"/>
          <w:szCs w:val="22"/>
        </w:rPr>
        <w:t>20</w:t>
      </w:r>
      <w:r w:rsidRPr="00131079">
        <w:rPr>
          <w:rFonts w:ascii="Arial" w:hAnsi="Arial" w:cs="Arial"/>
          <w:sz w:val="22"/>
          <w:szCs w:val="22"/>
        </w:rPr>
        <w:t>.</w:t>
      </w:r>
      <w:r>
        <w:rPr>
          <w:rFonts w:ascii="Arial" w:hAnsi="Arial" w:cs="Arial"/>
          <w:sz w:val="22"/>
          <w:szCs w:val="22"/>
        </w:rPr>
        <w:t xml:space="preserve"> </w:t>
      </w:r>
      <w:r w:rsidR="0050682D">
        <w:rPr>
          <w:rFonts w:ascii="Arial" w:hAnsi="Arial" w:cs="Arial"/>
          <w:sz w:val="22"/>
          <w:szCs w:val="22"/>
        </w:rPr>
        <w:t>Growth in n</w:t>
      </w:r>
      <w:r w:rsidRPr="00A623DC">
        <w:rPr>
          <w:rFonts w:ascii="Arial" w:hAnsi="Arial" w:cs="Arial"/>
          <w:sz w:val="22"/>
          <w:szCs w:val="22"/>
        </w:rPr>
        <w:t>on</w:t>
      </w:r>
      <w:r>
        <w:rPr>
          <w:rFonts w:ascii="Arial" w:hAnsi="Arial" w:cs="Arial"/>
          <w:sz w:val="22"/>
          <w:szCs w:val="22"/>
        </w:rPr>
        <w:t>-</w:t>
      </w:r>
      <w:r w:rsidRPr="00A623DC">
        <w:rPr>
          <w:rFonts w:ascii="Arial" w:hAnsi="Arial" w:cs="Arial"/>
          <w:sz w:val="22"/>
          <w:szCs w:val="22"/>
        </w:rPr>
        <w:t>mining business investment is forecast to increase</w:t>
      </w:r>
      <w:r>
        <w:rPr>
          <w:rFonts w:ascii="Arial" w:hAnsi="Arial" w:cs="Arial"/>
          <w:sz w:val="22"/>
          <w:szCs w:val="22"/>
        </w:rPr>
        <w:t xml:space="preserve"> from 4% in 2018</w:t>
      </w:r>
      <w:r w:rsidR="002F3806">
        <w:rPr>
          <w:rFonts w:ascii="Arial" w:hAnsi="Arial" w:cs="Arial"/>
          <w:sz w:val="22"/>
          <w:szCs w:val="22"/>
        </w:rPr>
        <w:t>–</w:t>
      </w:r>
      <w:r>
        <w:rPr>
          <w:rFonts w:ascii="Arial" w:hAnsi="Arial" w:cs="Arial"/>
          <w:sz w:val="22"/>
          <w:szCs w:val="22"/>
        </w:rPr>
        <w:t>19 to 5% in 2019</w:t>
      </w:r>
      <w:r w:rsidR="002F3806">
        <w:rPr>
          <w:rFonts w:ascii="Arial" w:hAnsi="Arial" w:cs="Arial"/>
          <w:sz w:val="22"/>
          <w:szCs w:val="22"/>
        </w:rPr>
        <w:t>–</w:t>
      </w:r>
      <w:r>
        <w:rPr>
          <w:rFonts w:ascii="Arial" w:hAnsi="Arial" w:cs="Arial"/>
          <w:sz w:val="22"/>
          <w:szCs w:val="22"/>
        </w:rPr>
        <w:t>20</w:t>
      </w:r>
      <w:r w:rsidRPr="00A623DC">
        <w:rPr>
          <w:rFonts w:ascii="Arial" w:hAnsi="Arial" w:cs="Arial"/>
          <w:sz w:val="22"/>
          <w:szCs w:val="22"/>
        </w:rPr>
        <w:t>, supported by strong growth in machinery and equipment investment.</w:t>
      </w:r>
      <w:r>
        <w:rPr>
          <w:rFonts w:ascii="Arial" w:hAnsi="Arial" w:cs="Arial"/>
          <w:sz w:val="22"/>
          <w:szCs w:val="22"/>
        </w:rPr>
        <w:t xml:space="preserve"> </w:t>
      </w:r>
    </w:p>
    <w:p w14:paraId="6623B4CF" w14:textId="2B2BEE5F" w:rsidR="005A2CE4" w:rsidRPr="00131079" w:rsidRDefault="005A2CE4" w:rsidP="00B00A90">
      <w:pPr>
        <w:spacing w:before="120" w:after="240" w:line="360" w:lineRule="auto"/>
        <w:jc w:val="both"/>
        <w:rPr>
          <w:rFonts w:ascii="Arial" w:hAnsi="Arial" w:cs="Arial"/>
          <w:sz w:val="22"/>
          <w:szCs w:val="22"/>
        </w:rPr>
      </w:pPr>
      <w:r w:rsidRPr="00A623DC">
        <w:rPr>
          <w:rFonts w:ascii="Arial" w:hAnsi="Arial" w:cs="Arial"/>
          <w:sz w:val="22"/>
          <w:szCs w:val="22"/>
        </w:rPr>
        <w:t>Dwelling investment is expected to grow by 1</w:t>
      </w:r>
      <w:r>
        <w:rPr>
          <w:rFonts w:ascii="Arial" w:hAnsi="Arial" w:cs="Arial"/>
          <w:sz w:val="22"/>
          <w:szCs w:val="22"/>
        </w:rPr>
        <w:t>%</w:t>
      </w:r>
      <w:r w:rsidRPr="00A623DC">
        <w:rPr>
          <w:rFonts w:ascii="Arial" w:hAnsi="Arial" w:cs="Arial"/>
          <w:sz w:val="22"/>
          <w:szCs w:val="22"/>
        </w:rPr>
        <w:t xml:space="preserve"> in 2018</w:t>
      </w:r>
      <w:r w:rsidR="00167B46">
        <w:rPr>
          <w:rFonts w:ascii="Arial" w:hAnsi="Arial" w:cs="Arial"/>
          <w:sz w:val="22"/>
          <w:szCs w:val="22"/>
        </w:rPr>
        <w:t>–</w:t>
      </w:r>
      <w:r w:rsidRPr="00A623DC">
        <w:rPr>
          <w:rFonts w:ascii="Arial" w:hAnsi="Arial" w:cs="Arial"/>
          <w:sz w:val="22"/>
          <w:szCs w:val="22"/>
        </w:rPr>
        <w:t>19 before falling by 4</w:t>
      </w:r>
      <w:r>
        <w:rPr>
          <w:rFonts w:ascii="Arial" w:hAnsi="Arial" w:cs="Arial"/>
          <w:sz w:val="22"/>
          <w:szCs w:val="22"/>
        </w:rPr>
        <w:t>%</w:t>
      </w:r>
      <w:r w:rsidRPr="00A623DC">
        <w:rPr>
          <w:rFonts w:ascii="Arial" w:hAnsi="Arial" w:cs="Arial"/>
          <w:sz w:val="22"/>
          <w:szCs w:val="22"/>
        </w:rPr>
        <w:t xml:space="preserve"> in 2019</w:t>
      </w:r>
      <w:r w:rsidR="002F3806">
        <w:rPr>
          <w:rFonts w:ascii="Arial" w:hAnsi="Arial" w:cs="Arial"/>
          <w:sz w:val="22"/>
          <w:szCs w:val="22"/>
        </w:rPr>
        <w:t>–</w:t>
      </w:r>
      <w:r w:rsidRPr="00A623DC">
        <w:rPr>
          <w:rFonts w:ascii="Arial" w:hAnsi="Arial" w:cs="Arial"/>
          <w:sz w:val="22"/>
          <w:szCs w:val="22"/>
        </w:rPr>
        <w:t xml:space="preserve">20. </w:t>
      </w:r>
      <w:r w:rsidR="00B00A90">
        <w:rPr>
          <w:rFonts w:ascii="Arial" w:hAnsi="Arial" w:cs="Arial"/>
          <w:sz w:val="22"/>
          <w:szCs w:val="22"/>
        </w:rPr>
        <w:br/>
      </w:r>
      <w:r w:rsidRPr="00A623DC">
        <w:rPr>
          <w:rFonts w:ascii="Arial" w:hAnsi="Arial" w:cs="Arial"/>
          <w:sz w:val="22"/>
          <w:szCs w:val="22"/>
        </w:rPr>
        <w:t>The forecast decline in 2019</w:t>
      </w:r>
      <w:r w:rsidR="002F3806">
        <w:rPr>
          <w:rFonts w:ascii="Arial" w:hAnsi="Arial" w:cs="Arial"/>
          <w:sz w:val="22"/>
          <w:szCs w:val="22"/>
        </w:rPr>
        <w:t>–</w:t>
      </w:r>
      <w:r w:rsidRPr="00A623DC">
        <w:rPr>
          <w:rFonts w:ascii="Arial" w:hAnsi="Arial" w:cs="Arial"/>
          <w:sz w:val="22"/>
          <w:szCs w:val="22"/>
        </w:rPr>
        <w:t>20 reflects the expected unwinding of some of the recent strength in construction activity.</w:t>
      </w:r>
      <w:r>
        <w:rPr>
          <w:rFonts w:ascii="Arial" w:hAnsi="Arial" w:cs="Arial"/>
          <w:sz w:val="22"/>
          <w:szCs w:val="22"/>
        </w:rPr>
        <w:t xml:space="preserve"> </w:t>
      </w:r>
      <w:r w:rsidRPr="00A623DC">
        <w:rPr>
          <w:rFonts w:ascii="Arial" w:hAnsi="Arial" w:cs="Arial"/>
          <w:sz w:val="22"/>
          <w:szCs w:val="22"/>
        </w:rPr>
        <w:t>Nonetheless, the level of dwelling investment is expected to remain relatively high, reflecting the large stock of work still to be done.</w:t>
      </w:r>
      <w:r w:rsidRPr="00131079">
        <w:rPr>
          <w:rFonts w:ascii="Arial" w:hAnsi="Arial" w:cs="Arial"/>
          <w:sz w:val="22"/>
          <w:szCs w:val="22"/>
        </w:rPr>
        <w:t xml:space="preserve"> </w:t>
      </w:r>
    </w:p>
    <w:p w14:paraId="02DC4537" w14:textId="66B4F638" w:rsidR="005A2CE4" w:rsidRDefault="005A2CE4" w:rsidP="00B00A90">
      <w:pPr>
        <w:spacing w:before="120" w:after="240" w:line="360" w:lineRule="auto"/>
        <w:jc w:val="both"/>
        <w:rPr>
          <w:rFonts w:ascii="Arial" w:hAnsi="Arial" w:cs="Arial"/>
          <w:sz w:val="22"/>
          <w:szCs w:val="22"/>
        </w:rPr>
      </w:pPr>
      <w:r w:rsidRPr="00A623DC">
        <w:rPr>
          <w:rFonts w:ascii="Arial" w:hAnsi="Arial" w:cs="Arial"/>
          <w:sz w:val="22"/>
          <w:szCs w:val="22"/>
        </w:rPr>
        <w:t>Household consum</w:t>
      </w:r>
      <w:r>
        <w:rPr>
          <w:rFonts w:ascii="Arial" w:hAnsi="Arial" w:cs="Arial"/>
          <w:sz w:val="22"/>
          <w:szCs w:val="22"/>
        </w:rPr>
        <w:t>ption is forecast to grow by 2½%</w:t>
      </w:r>
      <w:r w:rsidRPr="00A623DC">
        <w:rPr>
          <w:rFonts w:ascii="Arial" w:hAnsi="Arial" w:cs="Arial"/>
          <w:sz w:val="22"/>
          <w:szCs w:val="22"/>
        </w:rPr>
        <w:t xml:space="preserve"> in 2018</w:t>
      </w:r>
      <w:r w:rsidR="002F3806">
        <w:rPr>
          <w:rFonts w:ascii="Arial" w:hAnsi="Arial" w:cs="Arial"/>
          <w:sz w:val="22"/>
          <w:szCs w:val="22"/>
        </w:rPr>
        <w:t>–</w:t>
      </w:r>
      <w:r w:rsidRPr="00A623DC">
        <w:rPr>
          <w:rFonts w:ascii="Arial" w:hAnsi="Arial" w:cs="Arial"/>
          <w:sz w:val="22"/>
          <w:szCs w:val="22"/>
        </w:rPr>
        <w:t>19 and 3</w:t>
      </w:r>
      <w:r>
        <w:rPr>
          <w:rFonts w:ascii="Arial" w:hAnsi="Arial" w:cs="Arial"/>
          <w:sz w:val="22"/>
          <w:szCs w:val="22"/>
        </w:rPr>
        <w:t>%</w:t>
      </w:r>
      <w:r w:rsidRPr="00A623DC">
        <w:rPr>
          <w:rFonts w:ascii="Arial" w:hAnsi="Arial" w:cs="Arial"/>
          <w:sz w:val="22"/>
          <w:szCs w:val="22"/>
        </w:rPr>
        <w:t xml:space="preserve"> in 2019</w:t>
      </w:r>
      <w:r w:rsidR="002F3806">
        <w:rPr>
          <w:rFonts w:ascii="Arial" w:hAnsi="Arial" w:cs="Arial"/>
          <w:sz w:val="22"/>
          <w:szCs w:val="22"/>
        </w:rPr>
        <w:t>–</w:t>
      </w:r>
      <w:r w:rsidRPr="00A623DC">
        <w:rPr>
          <w:rFonts w:ascii="Arial" w:hAnsi="Arial" w:cs="Arial"/>
          <w:sz w:val="22"/>
          <w:szCs w:val="22"/>
        </w:rPr>
        <w:t>20. Consumer spending</w:t>
      </w:r>
      <w:r>
        <w:rPr>
          <w:rFonts w:ascii="Arial" w:hAnsi="Arial" w:cs="Arial"/>
          <w:sz w:val="22"/>
          <w:szCs w:val="22"/>
        </w:rPr>
        <w:t xml:space="preserve"> (up 2.8%)</w:t>
      </w:r>
      <w:r w:rsidRPr="00A623DC">
        <w:rPr>
          <w:rFonts w:ascii="Arial" w:hAnsi="Arial" w:cs="Arial"/>
          <w:sz w:val="22"/>
          <w:szCs w:val="22"/>
        </w:rPr>
        <w:t xml:space="preserve"> was supported by a pick-up in household income growth in 2017</w:t>
      </w:r>
      <w:r w:rsidR="002F3806">
        <w:rPr>
          <w:rFonts w:ascii="Arial" w:hAnsi="Arial" w:cs="Arial"/>
          <w:sz w:val="22"/>
          <w:szCs w:val="22"/>
        </w:rPr>
        <w:t>–</w:t>
      </w:r>
      <w:r w:rsidRPr="00A623DC">
        <w:rPr>
          <w:rFonts w:ascii="Arial" w:hAnsi="Arial" w:cs="Arial"/>
          <w:sz w:val="22"/>
          <w:szCs w:val="22"/>
        </w:rPr>
        <w:t>18.</w:t>
      </w:r>
      <w:r>
        <w:rPr>
          <w:rFonts w:ascii="Arial" w:hAnsi="Arial" w:cs="Arial"/>
          <w:sz w:val="22"/>
          <w:szCs w:val="22"/>
        </w:rPr>
        <w:t xml:space="preserve"> </w:t>
      </w:r>
      <w:r w:rsidRPr="00A623DC">
        <w:rPr>
          <w:rFonts w:ascii="Arial" w:hAnsi="Arial" w:cs="Arial"/>
          <w:sz w:val="22"/>
          <w:szCs w:val="22"/>
        </w:rPr>
        <w:t>Income growth increased due mainly to strong growth in employment, with a smaller contribution from a modest rise in average earnings.</w:t>
      </w:r>
      <w:r>
        <w:rPr>
          <w:rFonts w:ascii="Arial" w:hAnsi="Arial" w:cs="Arial"/>
          <w:sz w:val="22"/>
          <w:szCs w:val="22"/>
        </w:rPr>
        <w:t xml:space="preserve"> </w:t>
      </w:r>
      <w:r w:rsidRPr="00A623DC">
        <w:rPr>
          <w:rFonts w:ascii="Arial" w:hAnsi="Arial" w:cs="Arial"/>
          <w:sz w:val="22"/>
          <w:szCs w:val="22"/>
        </w:rPr>
        <w:t>Continued growth in employment and stronger wage growth is expected to support an expansion in household consumption over the forecast period, albeit at a slightly slower rate in 2018</w:t>
      </w:r>
      <w:r w:rsidR="002F3806">
        <w:rPr>
          <w:rFonts w:ascii="Arial" w:hAnsi="Arial" w:cs="Arial"/>
          <w:sz w:val="22"/>
          <w:szCs w:val="22"/>
        </w:rPr>
        <w:t>–</w:t>
      </w:r>
      <w:r w:rsidRPr="00A623DC">
        <w:rPr>
          <w:rFonts w:ascii="Arial" w:hAnsi="Arial" w:cs="Arial"/>
          <w:sz w:val="22"/>
          <w:szCs w:val="22"/>
        </w:rPr>
        <w:t>19.</w:t>
      </w:r>
      <w:r>
        <w:rPr>
          <w:rFonts w:ascii="Arial" w:hAnsi="Arial" w:cs="Arial"/>
          <w:sz w:val="22"/>
          <w:szCs w:val="22"/>
        </w:rPr>
        <w:t xml:space="preserve"> </w:t>
      </w:r>
      <w:r w:rsidRPr="00A623DC">
        <w:rPr>
          <w:rFonts w:ascii="Arial" w:hAnsi="Arial" w:cs="Arial"/>
          <w:sz w:val="22"/>
          <w:szCs w:val="22"/>
        </w:rPr>
        <w:t>Personal income tax measures announced in the 2018</w:t>
      </w:r>
      <w:r w:rsidR="002F3806">
        <w:rPr>
          <w:rFonts w:ascii="Arial" w:hAnsi="Arial" w:cs="Arial"/>
          <w:sz w:val="22"/>
          <w:szCs w:val="22"/>
        </w:rPr>
        <w:t>–</w:t>
      </w:r>
      <w:r w:rsidRPr="00A623DC">
        <w:rPr>
          <w:rFonts w:ascii="Arial" w:hAnsi="Arial" w:cs="Arial"/>
          <w:sz w:val="22"/>
          <w:szCs w:val="22"/>
        </w:rPr>
        <w:t>19 Budget are expected to support disposable income over this period.</w:t>
      </w:r>
      <w:r>
        <w:rPr>
          <w:rFonts w:ascii="Arial" w:hAnsi="Arial" w:cs="Arial"/>
          <w:sz w:val="22"/>
          <w:szCs w:val="22"/>
        </w:rPr>
        <w:t xml:space="preserve"> </w:t>
      </w:r>
      <w:r w:rsidRPr="00A623DC">
        <w:rPr>
          <w:rFonts w:ascii="Arial" w:hAnsi="Arial" w:cs="Arial"/>
          <w:sz w:val="22"/>
          <w:szCs w:val="22"/>
        </w:rPr>
        <w:t>After declining over four years, the household saving ratio is expected to stabilise in 2019</w:t>
      </w:r>
      <w:r w:rsidR="002F3806">
        <w:rPr>
          <w:rFonts w:ascii="Arial" w:hAnsi="Arial" w:cs="Arial"/>
          <w:sz w:val="22"/>
          <w:szCs w:val="22"/>
        </w:rPr>
        <w:t>–</w:t>
      </w:r>
      <w:r w:rsidRPr="00A623DC">
        <w:rPr>
          <w:rFonts w:ascii="Arial" w:hAnsi="Arial" w:cs="Arial"/>
          <w:sz w:val="22"/>
          <w:szCs w:val="22"/>
        </w:rPr>
        <w:t>20.</w:t>
      </w:r>
    </w:p>
    <w:p w14:paraId="5758048E" w14:textId="6CCA32EE" w:rsidR="005A2CE4" w:rsidRDefault="005A2CE4" w:rsidP="00B00A90">
      <w:pPr>
        <w:spacing w:before="120" w:after="240" w:line="360" w:lineRule="auto"/>
        <w:jc w:val="both"/>
        <w:rPr>
          <w:rFonts w:ascii="Arial" w:hAnsi="Arial" w:cs="Arial"/>
          <w:sz w:val="22"/>
          <w:szCs w:val="22"/>
        </w:rPr>
      </w:pPr>
      <w:r w:rsidRPr="00622978">
        <w:rPr>
          <w:rFonts w:ascii="Arial" w:hAnsi="Arial" w:cs="Arial"/>
          <w:sz w:val="22"/>
          <w:szCs w:val="22"/>
        </w:rPr>
        <w:t xml:space="preserve">Labour market conditions have remained strong over the past 12 months, with employment increasing </w:t>
      </w:r>
      <w:r>
        <w:rPr>
          <w:rFonts w:ascii="Arial" w:hAnsi="Arial" w:cs="Arial"/>
          <w:sz w:val="22"/>
          <w:szCs w:val="22"/>
        </w:rPr>
        <w:t>up 2.7% through the year to June quarter 2018 (seasonally adjusted)</w:t>
      </w:r>
      <w:r w:rsidRPr="00622978">
        <w:rPr>
          <w:rFonts w:ascii="Arial" w:hAnsi="Arial" w:cs="Arial"/>
          <w:sz w:val="22"/>
          <w:szCs w:val="22"/>
        </w:rPr>
        <w:t>.</w:t>
      </w:r>
      <w:r>
        <w:rPr>
          <w:rFonts w:ascii="Arial" w:hAnsi="Arial" w:cs="Arial"/>
          <w:sz w:val="22"/>
          <w:szCs w:val="22"/>
        </w:rPr>
        <w:t xml:space="preserve"> </w:t>
      </w:r>
      <w:r w:rsidR="00B00A90">
        <w:rPr>
          <w:rFonts w:ascii="Arial" w:hAnsi="Arial" w:cs="Arial"/>
          <w:sz w:val="22"/>
          <w:szCs w:val="22"/>
        </w:rPr>
        <w:br/>
      </w:r>
      <w:r>
        <w:rPr>
          <w:rFonts w:ascii="Arial" w:hAnsi="Arial" w:cs="Arial"/>
          <w:sz w:val="22"/>
          <w:szCs w:val="22"/>
        </w:rPr>
        <w:t>The unemployment rate has fallen to</w:t>
      </w:r>
      <w:r w:rsidRPr="00622978">
        <w:rPr>
          <w:rFonts w:ascii="Arial" w:hAnsi="Arial" w:cs="Arial"/>
          <w:sz w:val="22"/>
          <w:szCs w:val="22"/>
        </w:rPr>
        <w:t xml:space="preserve"> </w:t>
      </w:r>
      <w:r>
        <w:rPr>
          <w:rFonts w:ascii="Arial" w:hAnsi="Arial" w:cs="Arial"/>
          <w:sz w:val="22"/>
          <w:szCs w:val="22"/>
        </w:rPr>
        <w:t xml:space="preserve">around </w:t>
      </w:r>
      <w:r w:rsidRPr="00622978">
        <w:rPr>
          <w:rFonts w:ascii="Arial" w:hAnsi="Arial" w:cs="Arial"/>
          <w:sz w:val="22"/>
          <w:szCs w:val="22"/>
        </w:rPr>
        <w:t>5</w:t>
      </w:r>
      <w:r>
        <w:rPr>
          <w:rFonts w:ascii="Arial" w:hAnsi="Arial" w:cs="Arial"/>
          <w:sz w:val="22"/>
          <w:szCs w:val="22"/>
        </w:rPr>
        <w:t>% (seasonally adjusted), towards</w:t>
      </w:r>
      <w:r w:rsidRPr="00622978">
        <w:rPr>
          <w:rFonts w:ascii="Arial" w:hAnsi="Arial" w:cs="Arial"/>
          <w:sz w:val="22"/>
          <w:szCs w:val="22"/>
        </w:rPr>
        <w:t xml:space="preserve"> its lowest level in six years.</w:t>
      </w:r>
      <w:r>
        <w:rPr>
          <w:rFonts w:ascii="Arial" w:hAnsi="Arial" w:cs="Arial"/>
          <w:sz w:val="22"/>
          <w:szCs w:val="22"/>
        </w:rPr>
        <w:t xml:space="preserve"> </w:t>
      </w:r>
      <w:r w:rsidRPr="00622978">
        <w:rPr>
          <w:rFonts w:ascii="Arial" w:hAnsi="Arial" w:cs="Arial"/>
          <w:sz w:val="22"/>
          <w:szCs w:val="22"/>
        </w:rPr>
        <w:t xml:space="preserve">Consistent with improved opportunities in the labour market, as well as continued increases in participation by women and older Australians, the headline participation rate </w:t>
      </w:r>
      <w:r>
        <w:rPr>
          <w:rFonts w:ascii="Arial" w:hAnsi="Arial" w:cs="Arial"/>
          <w:sz w:val="22"/>
          <w:szCs w:val="22"/>
        </w:rPr>
        <w:t xml:space="preserve">(65.6% in June quarter 2018) </w:t>
      </w:r>
      <w:r w:rsidRPr="00622978">
        <w:rPr>
          <w:rFonts w:ascii="Arial" w:hAnsi="Arial" w:cs="Arial"/>
          <w:sz w:val="22"/>
          <w:szCs w:val="22"/>
        </w:rPr>
        <w:t>remains close to recent highs</w:t>
      </w:r>
      <w:r>
        <w:rPr>
          <w:rFonts w:ascii="Arial" w:hAnsi="Arial" w:cs="Arial"/>
          <w:sz w:val="22"/>
          <w:szCs w:val="22"/>
        </w:rPr>
        <w:t xml:space="preserve"> and is expected to remain at 65½% over the forecast period</w:t>
      </w:r>
      <w:r w:rsidRPr="00622978">
        <w:rPr>
          <w:rFonts w:ascii="Arial" w:hAnsi="Arial" w:cs="Arial"/>
          <w:sz w:val="22"/>
          <w:szCs w:val="22"/>
        </w:rPr>
        <w:t>.</w:t>
      </w:r>
      <w:r>
        <w:rPr>
          <w:rFonts w:ascii="Arial" w:hAnsi="Arial" w:cs="Arial"/>
          <w:sz w:val="22"/>
          <w:szCs w:val="22"/>
        </w:rPr>
        <w:t xml:space="preserve"> </w:t>
      </w:r>
      <w:r w:rsidRPr="00622978">
        <w:rPr>
          <w:rFonts w:ascii="Arial" w:hAnsi="Arial" w:cs="Arial"/>
          <w:sz w:val="22"/>
          <w:szCs w:val="22"/>
        </w:rPr>
        <w:t>Strong growth in output is expected to bring the economy closer to its productive capacity over the forecast period and support increased demand for labour.</w:t>
      </w:r>
      <w:r>
        <w:rPr>
          <w:rFonts w:ascii="Arial" w:hAnsi="Arial" w:cs="Arial"/>
          <w:sz w:val="22"/>
          <w:szCs w:val="22"/>
        </w:rPr>
        <w:t xml:space="preserve"> </w:t>
      </w:r>
      <w:r w:rsidRPr="00622978">
        <w:rPr>
          <w:rFonts w:ascii="Arial" w:hAnsi="Arial" w:cs="Arial"/>
          <w:sz w:val="22"/>
          <w:szCs w:val="22"/>
        </w:rPr>
        <w:t>However, consistent with leading indicators of employment growth, further improvements in the labour market are likely to be more gradual than in 2017</w:t>
      </w:r>
      <w:r w:rsidR="002F3806">
        <w:rPr>
          <w:rFonts w:ascii="Arial" w:hAnsi="Arial" w:cs="Arial"/>
          <w:sz w:val="22"/>
          <w:szCs w:val="22"/>
        </w:rPr>
        <w:t>–</w:t>
      </w:r>
      <w:r w:rsidRPr="00622978">
        <w:rPr>
          <w:rFonts w:ascii="Arial" w:hAnsi="Arial" w:cs="Arial"/>
          <w:sz w:val="22"/>
          <w:szCs w:val="22"/>
        </w:rPr>
        <w:t>18.</w:t>
      </w:r>
      <w:r>
        <w:rPr>
          <w:rFonts w:ascii="Arial" w:hAnsi="Arial" w:cs="Arial"/>
          <w:sz w:val="22"/>
          <w:szCs w:val="22"/>
        </w:rPr>
        <w:t xml:space="preserve"> E</w:t>
      </w:r>
      <w:r w:rsidRPr="00622978">
        <w:rPr>
          <w:rFonts w:ascii="Arial" w:hAnsi="Arial" w:cs="Arial"/>
          <w:sz w:val="22"/>
          <w:szCs w:val="22"/>
        </w:rPr>
        <w:t>mployment growth of 1¾</w:t>
      </w:r>
      <w:r>
        <w:rPr>
          <w:rFonts w:ascii="Arial" w:hAnsi="Arial" w:cs="Arial"/>
          <w:sz w:val="22"/>
          <w:szCs w:val="22"/>
        </w:rPr>
        <w:t>%</w:t>
      </w:r>
      <w:r w:rsidRPr="00622978">
        <w:rPr>
          <w:rFonts w:ascii="Arial" w:hAnsi="Arial" w:cs="Arial"/>
          <w:sz w:val="22"/>
          <w:szCs w:val="22"/>
        </w:rPr>
        <w:t xml:space="preserve"> is forecast </w:t>
      </w:r>
      <w:r>
        <w:rPr>
          <w:rFonts w:ascii="Arial" w:hAnsi="Arial" w:cs="Arial"/>
          <w:sz w:val="22"/>
          <w:szCs w:val="22"/>
        </w:rPr>
        <w:t>through the year to both June quarter 2019 and June quarter 2020</w:t>
      </w:r>
      <w:r w:rsidRPr="00622978">
        <w:rPr>
          <w:rFonts w:ascii="Arial" w:hAnsi="Arial" w:cs="Arial"/>
          <w:sz w:val="22"/>
          <w:szCs w:val="22"/>
        </w:rPr>
        <w:t>.</w:t>
      </w:r>
      <w:r>
        <w:rPr>
          <w:rFonts w:ascii="Arial" w:hAnsi="Arial" w:cs="Arial"/>
          <w:sz w:val="22"/>
          <w:szCs w:val="22"/>
        </w:rPr>
        <w:t xml:space="preserve"> </w:t>
      </w:r>
      <w:r w:rsidRPr="00622978">
        <w:rPr>
          <w:rFonts w:ascii="Arial" w:hAnsi="Arial" w:cs="Arial"/>
          <w:sz w:val="22"/>
          <w:szCs w:val="22"/>
        </w:rPr>
        <w:t xml:space="preserve">The unemployment rate is expected to </w:t>
      </w:r>
      <w:r>
        <w:rPr>
          <w:rFonts w:ascii="Arial" w:hAnsi="Arial" w:cs="Arial"/>
          <w:sz w:val="22"/>
          <w:szCs w:val="22"/>
        </w:rPr>
        <w:t xml:space="preserve">decline to </w:t>
      </w:r>
      <w:r w:rsidRPr="00622978">
        <w:rPr>
          <w:rFonts w:ascii="Arial" w:hAnsi="Arial" w:cs="Arial"/>
          <w:sz w:val="22"/>
          <w:szCs w:val="22"/>
        </w:rPr>
        <w:t>5</w:t>
      </w:r>
      <w:r>
        <w:rPr>
          <w:rFonts w:ascii="Arial" w:hAnsi="Arial" w:cs="Arial"/>
          <w:sz w:val="22"/>
          <w:szCs w:val="22"/>
        </w:rPr>
        <w:t>% in June quarter 2019 (seasonally adjusted), down from 5.4% in June quarter 2018</w:t>
      </w:r>
      <w:r w:rsidRPr="00622978">
        <w:rPr>
          <w:rFonts w:ascii="Arial" w:hAnsi="Arial" w:cs="Arial"/>
          <w:sz w:val="22"/>
          <w:szCs w:val="22"/>
        </w:rPr>
        <w:t>.</w:t>
      </w:r>
      <w:r>
        <w:rPr>
          <w:rFonts w:ascii="Arial" w:hAnsi="Arial" w:cs="Arial"/>
          <w:sz w:val="22"/>
          <w:szCs w:val="22"/>
        </w:rPr>
        <w:t xml:space="preserve"> </w:t>
      </w:r>
    </w:p>
    <w:p w14:paraId="66B3908E" w14:textId="07BACFD4" w:rsidR="005A2CE4" w:rsidRPr="00622978" w:rsidRDefault="005A2CE4" w:rsidP="00B00A90">
      <w:pPr>
        <w:spacing w:before="120" w:after="240" w:line="360" w:lineRule="auto"/>
        <w:jc w:val="both"/>
        <w:rPr>
          <w:rFonts w:ascii="Arial" w:hAnsi="Arial" w:cs="Arial"/>
          <w:sz w:val="22"/>
          <w:szCs w:val="22"/>
        </w:rPr>
      </w:pPr>
      <w:r>
        <w:rPr>
          <w:rFonts w:ascii="Arial" w:hAnsi="Arial" w:cs="Arial"/>
          <w:sz w:val="22"/>
          <w:szCs w:val="22"/>
        </w:rPr>
        <w:t>W</w:t>
      </w:r>
      <w:r w:rsidRPr="00622978">
        <w:rPr>
          <w:rFonts w:ascii="Arial" w:hAnsi="Arial" w:cs="Arial"/>
          <w:sz w:val="22"/>
          <w:szCs w:val="22"/>
        </w:rPr>
        <w:t>age growth is expected to rise from</w:t>
      </w:r>
      <w:r>
        <w:rPr>
          <w:rFonts w:ascii="Arial" w:hAnsi="Arial" w:cs="Arial"/>
          <w:sz w:val="22"/>
          <w:szCs w:val="22"/>
        </w:rPr>
        <w:t xml:space="preserve"> 2.1% (seasonally adjusted) through the year to June quarter 2018 to 2½%</w:t>
      </w:r>
      <w:r w:rsidRPr="00622978">
        <w:rPr>
          <w:rFonts w:ascii="Arial" w:hAnsi="Arial" w:cs="Arial"/>
          <w:sz w:val="22"/>
          <w:szCs w:val="22"/>
        </w:rPr>
        <w:t xml:space="preserve"> </w:t>
      </w:r>
      <w:r>
        <w:rPr>
          <w:rFonts w:ascii="Arial" w:hAnsi="Arial" w:cs="Arial"/>
          <w:sz w:val="22"/>
          <w:szCs w:val="22"/>
        </w:rPr>
        <w:t>through the year to June quarter 2019 and to 3%</w:t>
      </w:r>
      <w:r w:rsidRPr="00622978">
        <w:rPr>
          <w:rFonts w:ascii="Arial" w:hAnsi="Arial" w:cs="Arial"/>
          <w:sz w:val="22"/>
          <w:szCs w:val="22"/>
        </w:rPr>
        <w:t xml:space="preserve"> </w:t>
      </w:r>
      <w:r>
        <w:rPr>
          <w:rFonts w:ascii="Arial" w:hAnsi="Arial" w:cs="Arial"/>
          <w:sz w:val="22"/>
          <w:szCs w:val="22"/>
        </w:rPr>
        <w:t>through the year to June quarter 2020</w:t>
      </w:r>
      <w:r w:rsidRPr="00622978">
        <w:rPr>
          <w:rFonts w:ascii="Arial" w:hAnsi="Arial" w:cs="Arial"/>
          <w:sz w:val="22"/>
          <w:szCs w:val="22"/>
        </w:rPr>
        <w:t>.</w:t>
      </w:r>
      <w:r>
        <w:rPr>
          <w:rFonts w:ascii="Arial" w:hAnsi="Arial" w:cs="Arial"/>
          <w:sz w:val="22"/>
          <w:szCs w:val="22"/>
        </w:rPr>
        <w:t xml:space="preserve"> A</w:t>
      </w:r>
      <w:r w:rsidRPr="00622978">
        <w:rPr>
          <w:rFonts w:ascii="Arial" w:hAnsi="Arial" w:cs="Arial"/>
          <w:sz w:val="22"/>
          <w:szCs w:val="22"/>
        </w:rPr>
        <w:t>s in other advanced economies, the response of wages to improving labour market conditions has been slower and more muted than in past cycles.</w:t>
      </w:r>
      <w:r>
        <w:rPr>
          <w:rFonts w:ascii="Arial" w:hAnsi="Arial" w:cs="Arial"/>
          <w:sz w:val="22"/>
          <w:szCs w:val="22"/>
        </w:rPr>
        <w:t xml:space="preserve"> This may reflect </w:t>
      </w:r>
      <w:r w:rsidRPr="00622978">
        <w:rPr>
          <w:rFonts w:ascii="Arial" w:hAnsi="Arial" w:cs="Arial"/>
          <w:sz w:val="22"/>
          <w:szCs w:val="22"/>
        </w:rPr>
        <w:t xml:space="preserve">the </w:t>
      </w:r>
      <w:r>
        <w:rPr>
          <w:rFonts w:ascii="Arial" w:hAnsi="Arial" w:cs="Arial"/>
          <w:sz w:val="22"/>
          <w:szCs w:val="22"/>
        </w:rPr>
        <w:t>decline in</w:t>
      </w:r>
      <w:r w:rsidRPr="00622978">
        <w:rPr>
          <w:rFonts w:ascii="Arial" w:hAnsi="Arial" w:cs="Arial"/>
          <w:sz w:val="22"/>
          <w:szCs w:val="22"/>
        </w:rPr>
        <w:t xml:space="preserve"> the terms of trade </w:t>
      </w:r>
      <w:r>
        <w:rPr>
          <w:rFonts w:ascii="Arial" w:hAnsi="Arial" w:cs="Arial"/>
          <w:sz w:val="22"/>
          <w:szCs w:val="22"/>
        </w:rPr>
        <w:t>from 2012</w:t>
      </w:r>
      <w:r w:rsidR="002F3806">
        <w:rPr>
          <w:rFonts w:ascii="Arial" w:hAnsi="Arial" w:cs="Arial"/>
          <w:sz w:val="22"/>
          <w:szCs w:val="22"/>
        </w:rPr>
        <w:t>–</w:t>
      </w:r>
      <w:r>
        <w:rPr>
          <w:rFonts w:ascii="Arial" w:hAnsi="Arial" w:cs="Arial"/>
          <w:sz w:val="22"/>
          <w:szCs w:val="22"/>
        </w:rPr>
        <w:t>13 to 2015</w:t>
      </w:r>
      <w:r w:rsidR="002F3806">
        <w:rPr>
          <w:rFonts w:ascii="Arial" w:hAnsi="Arial" w:cs="Arial"/>
          <w:sz w:val="22"/>
          <w:szCs w:val="22"/>
        </w:rPr>
        <w:t>–</w:t>
      </w:r>
      <w:r>
        <w:rPr>
          <w:rFonts w:ascii="Arial" w:hAnsi="Arial" w:cs="Arial"/>
          <w:sz w:val="22"/>
          <w:szCs w:val="22"/>
        </w:rPr>
        <w:t>16, or</w:t>
      </w:r>
      <w:r w:rsidRPr="00622978">
        <w:rPr>
          <w:rFonts w:ascii="Arial" w:hAnsi="Arial" w:cs="Arial"/>
          <w:sz w:val="22"/>
          <w:szCs w:val="22"/>
        </w:rPr>
        <w:t xml:space="preserve"> </w:t>
      </w:r>
      <w:r>
        <w:rPr>
          <w:rFonts w:ascii="Arial" w:hAnsi="Arial" w:cs="Arial"/>
          <w:sz w:val="22"/>
          <w:szCs w:val="22"/>
        </w:rPr>
        <w:t>s</w:t>
      </w:r>
      <w:r w:rsidRPr="00622978">
        <w:rPr>
          <w:rFonts w:ascii="Arial" w:hAnsi="Arial" w:cs="Arial"/>
          <w:sz w:val="22"/>
          <w:szCs w:val="22"/>
        </w:rPr>
        <w:t xml:space="preserve">ustained low inflation outcomes </w:t>
      </w:r>
      <w:r>
        <w:rPr>
          <w:rFonts w:ascii="Arial" w:hAnsi="Arial" w:cs="Arial"/>
          <w:sz w:val="22"/>
          <w:szCs w:val="22"/>
        </w:rPr>
        <w:t xml:space="preserve">which </w:t>
      </w:r>
      <w:r w:rsidRPr="00622978">
        <w:rPr>
          <w:rFonts w:ascii="Arial" w:hAnsi="Arial" w:cs="Arial"/>
          <w:sz w:val="22"/>
          <w:szCs w:val="22"/>
        </w:rPr>
        <w:t>have affected inflation expectations and wage setting in recent years.</w:t>
      </w:r>
      <w:r>
        <w:rPr>
          <w:rFonts w:ascii="Arial" w:hAnsi="Arial" w:cs="Arial"/>
          <w:sz w:val="22"/>
          <w:szCs w:val="22"/>
        </w:rPr>
        <w:t xml:space="preserve"> </w:t>
      </w:r>
      <w:r w:rsidRPr="00622978">
        <w:rPr>
          <w:rFonts w:ascii="Arial" w:hAnsi="Arial" w:cs="Arial"/>
          <w:sz w:val="22"/>
          <w:szCs w:val="22"/>
        </w:rPr>
        <w:t>Additionally, while the unemployment rate has fallen, broader measures of labour underutilisation indicate that there remains spare capacity in the labour market</w:t>
      </w:r>
      <w:r>
        <w:rPr>
          <w:rFonts w:ascii="Arial" w:hAnsi="Arial" w:cs="Arial"/>
          <w:sz w:val="22"/>
          <w:szCs w:val="22"/>
        </w:rPr>
        <w:t>.</w:t>
      </w:r>
    </w:p>
    <w:p w14:paraId="11BD87AF" w14:textId="77777777" w:rsidR="005A2CE4" w:rsidRPr="00131079" w:rsidRDefault="005A2CE4" w:rsidP="00B00A90">
      <w:pPr>
        <w:spacing w:before="120" w:after="240" w:line="360" w:lineRule="auto"/>
        <w:jc w:val="both"/>
        <w:rPr>
          <w:rFonts w:ascii="Arial" w:hAnsi="Arial" w:cs="Arial"/>
          <w:sz w:val="22"/>
          <w:szCs w:val="22"/>
        </w:rPr>
      </w:pPr>
      <w:r>
        <w:rPr>
          <w:rFonts w:ascii="Arial" w:hAnsi="Arial" w:cs="Arial"/>
          <w:sz w:val="22"/>
          <w:szCs w:val="22"/>
        </w:rPr>
        <w:t>C</w:t>
      </w:r>
      <w:r w:rsidRPr="00CB6A2A">
        <w:rPr>
          <w:rFonts w:ascii="Arial" w:hAnsi="Arial" w:cs="Arial"/>
          <w:sz w:val="22"/>
          <w:szCs w:val="22"/>
        </w:rPr>
        <w:t>onsumer price inflation</w:t>
      </w:r>
      <w:r>
        <w:rPr>
          <w:rFonts w:ascii="Arial" w:hAnsi="Arial" w:cs="Arial"/>
          <w:sz w:val="22"/>
          <w:szCs w:val="22"/>
        </w:rPr>
        <w:t xml:space="preserve"> was 2.1% (seasonally adjusted) through the year to June quarter 2018 and is forecast to strengthen slightly from 2% through the year to June quarter 2019 to 2¼% through the year to June quarter 2020</w:t>
      </w:r>
      <w:r w:rsidRPr="00CB6A2A">
        <w:rPr>
          <w:rFonts w:ascii="Arial" w:hAnsi="Arial" w:cs="Arial"/>
          <w:sz w:val="22"/>
          <w:szCs w:val="22"/>
        </w:rPr>
        <w:t>.</w:t>
      </w:r>
      <w:r>
        <w:rPr>
          <w:rFonts w:ascii="Arial" w:hAnsi="Arial" w:cs="Arial"/>
          <w:sz w:val="22"/>
          <w:szCs w:val="22"/>
        </w:rPr>
        <w:t xml:space="preserve"> </w:t>
      </w:r>
      <w:r w:rsidRPr="00CB6A2A">
        <w:rPr>
          <w:rFonts w:ascii="Arial" w:hAnsi="Arial" w:cs="Arial"/>
          <w:sz w:val="22"/>
          <w:szCs w:val="22"/>
        </w:rPr>
        <w:t>Over the past year, higher fuel and tobacco prices have exerted upward pressure on inflation.</w:t>
      </w:r>
      <w:r>
        <w:rPr>
          <w:rFonts w:ascii="Arial" w:hAnsi="Arial" w:cs="Arial"/>
          <w:sz w:val="22"/>
          <w:szCs w:val="22"/>
        </w:rPr>
        <w:t xml:space="preserve"> </w:t>
      </w:r>
      <w:r w:rsidRPr="00CB6A2A">
        <w:rPr>
          <w:rFonts w:ascii="Arial" w:hAnsi="Arial" w:cs="Arial"/>
          <w:sz w:val="22"/>
          <w:szCs w:val="22"/>
        </w:rPr>
        <w:t>However, a combination of slow growth in labour costs, subdued increases in dwelling rents and heightened competition in the retail sector has continued to weigh on consumer prices.</w:t>
      </w:r>
      <w:r>
        <w:rPr>
          <w:rFonts w:ascii="Arial" w:hAnsi="Arial" w:cs="Arial"/>
          <w:sz w:val="22"/>
          <w:szCs w:val="22"/>
        </w:rPr>
        <w:t xml:space="preserve"> </w:t>
      </w:r>
      <w:r w:rsidRPr="00CB6A2A">
        <w:rPr>
          <w:rFonts w:ascii="Arial" w:hAnsi="Arial" w:cs="Arial"/>
          <w:sz w:val="22"/>
          <w:szCs w:val="22"/>
        </w:rPr>
        <w:t>Slower growth in administered prices, largely a result of child care policy changes introduced in July, contributed to a subdued inflation outcome for September quarter</w:t>
      </w:r>
      <w:r>
        <w:rPr>
          <w:rFonts w:ascii="Arial" w:hAnsi="Arial" w:cs="Arial"/>
          <w:sz w:val="22"/>
          <w:szCs w:val="22"/>
        </w:rPr>
        <w:t xml:space="preserve"> 2018</w:t>
      </w:r>
      <w:r w:rsidRPr="00CB6A2A">
        <w:rPr>
          <w:rFonts w:ascii="Arial" w:hAnsi="Arial" w:cs="Arial"/>
          <w:sz w:val="22"/>
          <w:szCs w:val="22"/>
        </w:rPr>
        <w:t xml:space="preserve">. The inflation forecasts are </w:t>
      </w:r>
      <w:r>
        <w:rPr>
          <w:rFonts w:ascii="Arial" w:hAnsi="Arial" w:cs="Arial"/>
          <w:sz w:val="22"/>
          <w:szCs w:val="22"/>
        </w:rPr>
        <w:t>moderate</w:t>
      </w:r>
      <w:r w:rsidRPr="00CB6A2A">
        <w:rPr>
          <w:rFonts w:ascii="Arial" w:hAnsi="Arial" w:cs="Arial"/>
          <w:sz w:val="22"/>
          <w:szCs w:val="22"/>
        </w:rPr>
        <w:t>, reflecting recent outcomes and a more gradual forecast pick-up in wage growth.</w:t>
      </w:r>
      <w:r w:rsidRPr="00131079">
        <w:rPr>
          <w:rFonts w:ascii="Arial" w:eastAsiaTheme="minorHAnsi" w:hAnsi="Arial" w:cs="Arial"/>
          <w:sz w:val="22"/>
          <w:szCs w:val="22"/>
          <w:lang w:eastAsia="en-US"/>
        </w:rPr>
        <w:t xml:space="preserve"> </w:t>
      </w:r>
    </w:p>
    <w:p w14:paraId="2F0AEDDC" w14:textId="77777777" w:rsidR="005A2CE4" w:rsidRPr="0007284B" w:rsidRDefault="005A2CE4" w:rsidP="00B00A90">
      <w:pPr>
        <w:pStyle w:val="Heading3"/>
        <w:spacing w:before="120" w:after="240"/>
        <w:jc w:val="both"/>
        <w:rPr>
          <w:rFonts w:asciiTheme="minorHAnsi" w:hAnsiTheme="minorHAnsi" w:cstheme="minorHAnsi"/>
          <w:b w:val="0"/>
          <w:sz w:val="22"/>
          <w:szCs w:val="22"/>
        </w:rPr>
      </w:pPr>
      <w:bookmarkStart w:id="18" w:name="_Toc2688647"/>
      <w:r w:rsidRPr="00BA3E2A">
        <w:rPr>
          <w:rFonts w:eastAsiaTheme="majorEastAsia"/>
          <w:b w:val="0"/>
          <w:bCs w:val="0"/>
          <w:color w:val="7B230B" w:themeColor="accent1" w:themeShade="BF"/>
          <w:sz w:val="28"/>
          <w:szCs w:val="28"/>
          <w:lang w:eastAsia="en-US"/>
        </w:rPr>
        <w:t>The Queensland economy</w:t>
      </w:r>
      <w:r w:rsidRPr="0007284B">
        <w:rPr>
          <w:rFonts w:asciiTheme="minorHAnsi" w:hAnsiTheme="minorHAnsi" w:cstheme="minorHAnsi"/>
          <w:sz w:val="22"/>
          <w:szCs w:val="22"/>
          <w:vertAlign w:val="superscript"/>
        </w:rPr>
        <w:footnoteReference w:id="16"/>
      </w:r>
      <w:bookmarkEnd w:id="18"/>
    </w:p>
    <w:p w14:paraId="5153EDFB" w14:textId="5CA2C90A" w:rsidR="005A2CE4" w:rsidRDefault="005A2CE4" w:rsidP="00B00A90">
      <w:pPr>
        <w:spacing w:before="120" w:after="240" w:line="360" w:lineRule="auto"/>
        <w:jc w:val="both"/>
        <w:rPr>
          <w:rFonts w:ascii="Arial" w:hAnsi="Arial" w:cs="Arial"/>
          <w:sz w:val="22"/>
          <w:szCs w:val="22"/>
        </w:rPr>
      </w:pPr>
      <w:r w:rsidRPr="00131079">
        <w:rPr>
          <w:rFonts w:ascii="Arial" w:hAnsi="Arial" w:cs="Arial"/>
          <w:sz w:val="22"/>
          <w:szCs w:val="22"/>
        </w:rPr>
        <w:t xml:space="preserve">Economic growth in Queensland is </w:t>
      </w:r>
      <w:r w:rsidR="0050682D">
        <w:rPr>
          <w:rFonts w:ascii="Arial" w:hAnsi="Arial" w:cs="Arial"/>
          <w:sz w:val="22"/>
          <w:szCs w:val="22"/>
        </w:rPr>
        <w:t xml:space="preserve">forecast </w:t>
      </w:r>
      <w:r>
        <w:rPr>
          <w:rFonts w:ascii="Arial" w:hAnsi="Arial" w:cs="Arial"/>
          <w:sz w:val="22"/>
          <w:szCs w:val="22"/>
        </w:rPr>
        <w:t xml:space="preserve">to </w:t>
      </w:r>
      <w:r w:rsidR="006B50F8">
        <w:rPr>
          <w:rFonts w:ascii="Arial" w:hAnsi="Arial" w:cs="Arial"/>
          <w:sz w:val="22"/>
          <w:szCs w:val="22"/>
        </w:rPr>
        <w:t>be</w:t>
      </w:r>
      <w:r>
        <w:rPr>
          <w:rFonts w:ascii="Arial" w:hAnsi="Arial" w:cs="Arial"/>
          <w:sz w:val="22"/>
          <w:szCs w:val="22"/>
        </w:rPr>
        <w:t xml:space="preserve"> 3</w:t>
      </w:r>
      <w:r w:rsidRPr="00131079">
        <w:rPr>
          <w:rFonts w:ascii="Arial" w:hAnsi="Arial" w:cs="Arial"/>
          <w:sz w:val="22"/>
          <w:szCs w:val="22"/>
        </w:rPr>
        <w:t xml:space="preserve">% in </w:t>
      </w:r>
      <w:r w:rsidR="002F3806">
        <w:rPr>
          <w:rFonts w:ascii="Arial" w:hAnsi="Arial" w:cs="Arial"/>
          <w:sz w:val="22"/>
          <w:szCs w:val="22"/>
        </w:rPr>
        <w:t>2018–19</w:t>
      </w:r>
      <w:r>
        <w:rPr>
          <w:rFonts w:ascii="Arial" w:hAnsi="Arial" w:cs="Arial"/>
          <w:sz w:val="22"/>
          <w:szCs w:val="22"/>
        </w:rPr>
        <w:t>,</w:t>
      </w:r>
      <w:r w:rsidRPr="00131079">
        <w:rPr>
          <w:rFonts w:ascii="Arial" w:hAnsi="Arial" w:cs="Arial"/>
          <w:sz w:val="22"/>
          <w:szCs w:val="22"/>
        </w:rPr>
        <w:t xml:space="preserve"> before </w:t>
      </w:r>
      <w:r>
        <w:rPr>
          <w:rFonts w:ascii="Arial" w:hAnsi="Arial" w:cs="Arial"/>
          <w:sz w:val="22"/>
          <w:szCs w:val="22"/>
        </w:rPr>
        <w:t>easing to 2¾% in 2019</w:t>
      </w:r>
      <w:r w:rsidR="002F3806">
        <w:rPr>
          <w:rFonts w:ascii="Arial" w:hAnsi="Arial" w:cs="Arial"/>
          <w:sz w:val="22"/>
          <w:szCs w:val="22"/>
        </w:rPr>
        <w:t>–</w:t>
      </w:r>
      <w:r>
        <w:rPr>
          <w:rFonts w:ascii="Arial" w:hAnsi="Arial" w:cs="Arial"/>
          <w:sz w:val="22"/>
          <w:szCs w:val="22"/>
        </w:rPr>
        <w:t>20</w:t>
      </w:r>
      <w:r w:rsidRPr="00131079">
        <w:rPr>
          <w:rFonts w:ascii="Arial" w:hAnsi="Arial" w:cs="Arial"/>
          <w:sz w:val="22"/>
          <w:szCs w:val="22"/>
        </w:rPr>
        <w:t>.</w:t>
      </w:r>
      <w:r>
        <w:rPr>
          <w:rFonts w:ascii="Arial" w:hAnsi="Arial" w:cs="Arial"/>
          <w:sz w:val="22"/>
          <w:szCs w:val="22"/>
        </w:rPr>
        <w:t xml:space="preserve"> This follows growth of </w:t>
      </w:r>
      <w:r w:rsidR="006B50F8">
        <w:rPr>
          <w:rFonts w:ascii="Arial" w:hAnsi="Arial" w:cs="Arial"/>
          <w:sz w:val="22"/>
          <w:szCs w:val="22"/>
        </w:rPr>
        <w:t>3.5</w:t>
      </w:r>
      <w:r>
        <w:rPr>
          <w:rFonts w:ascii="Arial" w:hAnsi="Arial" w:cs="Arial"/>
          <w:sz w:val="22"/>
          <w:szCs w:val="22"/>
        </w:rPr>
        <w:t>%</w:t>
      </w:r>
      <w:r>
        <w:rPr>
          <w:rStyle w:val="FootnoteReference"/>
          <w:rFonts w:ascii="Arial" w:hAnsi="Arial" w:cs="Arial"/>
          <w:sz w:val="22"/>
          <w:szCs w:val="22"/>
        </w:rPr>
        <w:footnoteReference w:id="17"/>
      </w:r>
      <w:r>
        <w:rPr>
          <w:rFonts w:ascii="Arial" w:hAnsi="Arial" w:cs="Arial"/>
          <w:sz w:val="22"/>
          <w:szCs w:val="22"/>
        </w:rPr>
        <w:t xml:space="preserve"> in 2017</w:t>
      </w:r>
      <w:r w:rsidR="002F3806">
        <w:rPr>
          <w:rFonts w:ascii="Arial" w:hAnsi="Arial" w:cs="Arial"/>
          <w:sz w:val="22"/>
          <w:szCs w:val="22"/>
        </w:rPr>
        <w:t>–</w:t>
      </w:r>
      <w:r>
        <w:rPr>
          <w:rFonts w:ascii="Arial" w:hAnsi="Arial" w:cs="Arial"/>
          <w:sz w:val="22"/>
          <w:szCs w:val="22"/>
        </w:rPr>
        <w:t>18, driven largely by an earlier than expected rebound in business investment, further strengthening in household consumption and a recovery in coal exports following the impacts of Severe Tropical Cyclone Debbie in late 2016</w:t>
      </w:r>
      <w:r w:rsidR="002F3806">
        <w:rPr>
          <w:rFonts w:ascii="Arial" w:hAnsi="Arial" w:cs="Arial"/>
          <w:sz w:val="22"/>
          <w:szCs w:val="22"/>
        </w:rPr>
        <w:t>–</w:t>
      </w:r>
      <w:r>
        <w:rPr>
          <w:rFonts w:ascii="Arial" w:hAnsi="Arial" w:cs="Arial"/>
          <w:sz w:val="22"/>
          <w:szCs w:val="22"/>
        </w:rPr>
        <w:t xml:space="preserve">17. </w:t>
      </w:r>
    </w:p>
    <w:p w14:paraId="1BDDA6F4" w14:textId="744F7C24" w:rsidR="005A2CE4" w:rsidRPr="00131079" w:rsidRDefault="005A2CE4" w:rsidP="00B00A90">
      <w:pPr>
        <w:spacing w:before="120" w:after="240" w:line="360" w:lineRule="auto"/>
        <w:jc w:val="both"/>
        <w:rPr>
          <w:rFonts w:ascii="Arial" w:hAnsi="Arial" w:cs="Arial"/>
          <w:sz w:val="22"/>
          <w:szCs w:val="22"/>
        </w:rPr>
      </w:pPr>
      <w:r>
        <w:rPr>
          <w:rFonts w:ascii="Arial" w:hAnsi="Arial" w:cs="Arial"/>
          <w:sz w:val="22"/>
          <w:szCs w:val="22"/>
        </w:rPr>
        <w:t xml:space="preserve">Household consumption grew by a higher than expected 2.5% in 2017-18 (the strongest result since 2013-14), supported by strong employment growth and a modest pick-up in private sector wages. After stabilising in </w:t>
      </w:r>
      <w:r w:rsidR="002F3806">
        <w:rPr>
          <w:rFonts w:ascii="Arial" w:hAnsi="Arial" w:cs="Arial"/>
          <w:sz w:val="22"/>
          <w:szCs w:val="22"/>
        </w:rPr>
        <w:t>2018–19</w:t>
      </w:r>
      <w:r>
        <w:rPr>
          <w:rFonts w:ascii="Arial" w:hAnsi="Arial" w:cs="Arial"/>
          <w:sz w:val="22"/>
          <w:szCs w:val="22"/>
        </w:rPr>
        <w:t>, growth in household consumption is expected to accelerate in 2019</w:t>
      </w:r>
      <w:r w:rsidR="00167B46">
        <w:rPr>
          <w:rFonts w:ascii="Arial" w:hAnsi="Arial" w:cs="Arial"/>
          <w:sz w:val="22"/>
          <w:szCs w:val="22"/>
        </w:rPr>
        <w:t>–</w:t>
      </w:r>
      <w:r>
        <w:rPr>
          <w:rFonts w:ascii="Arial" w:hAnsi="Arial" w:cs="Arial"/>
          <w:sz w:val="22"/>
          <w:szCs w:val="22"/>
        </w:rPr>
        <w:t>20. However, any improvement in household spending will likely be constrained by modest income growth and the impact on wealth of the stock market decline experienced in late-2018</w:t>
      </w:r>
      <w:r w:rsidRPr="00131079">
        <w:rPr>
          <w:rFonts w:ascii="Arial" w:hAnsi="Arial" w:cs="Arial"/>
          <w:sz w:val="22"/>
          <w:szCs w:val="22"/>
        </w:rPr>
        <w:t>.</w:t>
      </w:r>
    </w:p>
    <w:p w14:paraId="215AA048" w14:textId="18D61B62" w:rsidR="005A2CE4" w:rsidRPr="00131079" w:rsidRDefault="009A5687" w:rsidP="009A5687">
      <w:pPr>
        <w:spacing w:before="120" w:after="240" w:line="360" w:lineRule="auto"/>
        <w:jc w:val="both"/>
        <w:rPr>
          <w:rFonts w:ascii="Arial" w:hAnsi="Arial" w:cs="Arial"/>
          <w:sz w:val="22"/>
          <w:szCs w:val="22"/>
        </w:rPr>
      </w:pPr>
      <w:r>
        <w:rPr>
          <w:rFonts w:ascii="Arial" w:hAnsi="Arial" w:cs="Arial"/>
          <w:sz w:val="22"/>
          <w:szCs w:val="22"/>
        </w:rPr>
        <w:t>Following four consecutive years of strong growth, d</w:t>
      </w:r>
      <w:r w:rsidR="005A2CE4">
        <w:rPr>
          <w:rFonts w:ascii="Arial" w:hAnsi="Arial" w:cs="Arial"/>
          <w:sz w:val="22"/>
          <w:szCs w:val="22"/>
        </w:rPr>
        <w:t xml:space="preserve">welling investment in Queensland declined </w:t>
      </w:r>
      <w:r w:rsidR="006E61A2">
        <w:rPr>
          <w:rFonts w:ascii="Arial" w:hAnsi="Arial" w:cs="Arial"/>
          <w:sz w:val="22"/>
          <w:szCs w:val="22"/>
        </w:rPr>
        <w:t>4.1</w:t>
      </w:r>
      <w:r w:rsidR="005A2CE4">
        <w:rPr>
          <w:rFonts w:ascii="Arial" w:hAnsi="Arial" w:cs="Arial"/>
          <w:sz w:val="22"/>
          <w:szCs w:val="22"/>
        </w:rPr>
        <w:t>%</w:t>
      </w:r>
      <w:r>
        <w:rPr>
          <w:rFonts w:ascii="Arial" w:hAnsi="Arial" w:cs="Arial"/>
          <w:sz w:val="22"/>
          <w:szCs w:val="22"/>
        </w:rPr>
        <w:t xml:space="preserve"> </w:t>
      </w:r>
      <w:r w:rsidR="005A2CE4">
        <w:rPr>
          <w:rFonts w:ascii="Arial" w:hAnsi="Arial" w:cs="Arial"/>
          <w:sz w:val="22"/>
          <w:szCs w:val="22"/>
        </w:rPr>
        <w:t>in 2017</w:t>
      </w:r>
      <w:r w:rsidR="00167B46">
        <w:rPr>
          <w:rFonts w:ascii="Arial" w:hAnsi="Arial" w:cs="Arial"/>
          <w:sz w:val="22"/>
          <w:szCs w:val="22"/>
        </w:rPr>
        <w:t>–</w:t>
      </w:r>
      <w:r w:rsidR="005A2CE4">
        <w:rPr>
          <w:rFonts w:ascii="Arial" w:hAnsi="Arial" w:cs="Arial"/>
          <w:sz w:val="22"/>
          <w:szCs w:val="22"/>
        </w:rPr>
        <w:t>18</w:t>
      </w:r>
      <w:r>
        <w:rPr>
          <w:rFonts w:ascii="Arial" w:hAnsi="Arial" w:cs="Arial"/>
          <w:sz w:val="22"/>
          <w:szCs w:val="22"/>
        </w:rPr>
        <w:t>, driven by the slowdown in construction of medium-to-high density dwellings in South East Queensland and a further tightening of lending standards, especially to investors</w:t>
      </w:r>
      <w:r w:rsidR="005A2CE4">
        <w:rPr>
          <w:rFonts w:ascii="Arial" w:hAnsi="Arial" w:cs="Arial"/>
          <w:sz w:val="22"/>
          <w:szCs w:val="22"/>
        </w:rPr>
        <w:t xml:space="preserve">. While approvals and construction have </w:t>
      </w:r>
      <w:r>
        <w:rPr>
          <w:rFonts w:ascii="Arial" w:hAnsi="Arial" w:cs="Arial"/>
          <w:sz w:val="22"/>
          <w:szCs w:val="22"/>
        </w:rPr>
        <w:t xml:space="preserve">continued to </w:t>
      </w:r>
      <w:r w:rsidR="005A2CE4">
        <w:rPr>
          <w:rFonts w:ascii="Arial" w:hAnsi="Arial" w:cs="Arial"/>
          <w:sz w:val="22"/>
          <w:szCs w:val="22"/>
        </w:rPr>
        <w:t>decline, the substantial amount of work remaining in the pipeline</w:t>
      </w:r>
      <w:r w:rsidR="0050682D">
        <w:rPr>
          <w:rFonts w:ascii="Arial" w:hAnsi="Arial" w:cs="Arial"/>
          <w:sz w:val="22"/>
          <w:szCs w:val="22"/>
        </w:rPr>
        <w:t xml:space="preserve"> and ongoing strong renovation activity should support some activity in</w:t>
      </w:r>
      <w:r>
        <w:rPr>
          <w:rFonts w:ascii="Arial" w:hAnsi="Arial" w:cs="Arial"/>
          <w:sz w:val="22"/>
          <w:szCs w:val="22"/>
        </w:rPr>
        <w:t xml:space="preserve"> </w:t>
      </w:r>
      <w:r w:rsidR="0050682D">
        <w:rPr>
          <w:rFonts w:ascii="Arial" w:hAnsi="Arial" w:cs="Arial"/>
          <w:sz w:val="22"/>
          <w:szCs w:val="22"/>
        </w:rPr>
        <w:t>the dwelling sector.</w:t>
      </w:r>
      <w:r w:rsidR="005A2CE4">
        <w:rPr>
          <w:rFonts w:ascii="Arial" w:hAnsi="Arial" w:cs="Arial"/>
          <w:sz w:val="22"/>
          <w:szCs w:val="22"/>
        </w:rPr>
        <w:t xml:space="preserve"> However, downside risks to the sector have increased recently, with Sydney and Melbourne dwelling prices falling faster and further than expected.</w:t>
      </w:r>
    </w:p>
    <w:p w14:paraId="2CC3A221" w14:textId="7265B139" w:rsidR="005A2CE4" w:rsidRPr="00131079" w:rsidRDefault="005A2CE4" w:rsidP="00B00A90">
      <w:pPr>
        <w:spacing w:before="120" w:after="240" w:line="360" w:lineRule="auto"/>
        <w:jc w:val="both"/>
        <w:rPr>
          <w:rFonts w:ascii="Arial" w:hAnsi="Arial" w:cs="Arial"/>
          <w:sz w:val="22"/>
          <w:szCs w:val="22"/>
        </w:rPr>
      </w:pPr>
      <w:r>
        <w:rPr>
          <w:rFonts w:ascii="Arial" w:hAnsi="Arial" w:cs="Arial"/>
          <w:sz w:val="22"/>
          <w:szCs w:val="22"/>
        </w:rPr>
        <w:t>Business investment rebounded strongly in 2017</w:t>
      </w:r>
      <w:r w:rsidR="00167B46">
        <w:rPr>
          <w:rFonts w:ascii="Arial" w:hAnsi="Arial" w:cs="Arial"/>
          <w:sz w:val="22"/>
          <w:szCs w:val="22"/>
        </w:rPr>
        <w:t>–</w:t>
      </w:r>
      <w:r>
        <w:rPr>
          <w:rFonts w:ascii="Arial" w:hAnsi="Arial" w:cs="Arial"/>
          <w:sz w:val="22"/>
          <w:szCs w:val="22"/>
        </w:rPr>
        <w:t xml:space="preserve">18, rising </w:t>
      </w:r>
      <w:r w:rsidR="000B51EC">
        <w:rPr>
          <w:rFonts w:ascii="Arial" w:hAnsi="Arial" w:cs="Arial"/>
          <w:sz w:val="22"/>
          <w:szCs w:val="22"/>
        </w:rPr>
        <w:t>13.0</w:t>
      </w:r>
      <w:r>
        <w:rPr>
          <w:rFonts w:ascii="Arial" w:hAnsi="Arial" w:cs="Arial"/>
          <w:sz w:val="22"/>
          <w:szCs w:val="22"/>
        </w:rPr>
        <w:t xml:space="preserve">%. </w:t>
      </w:r>
      <w:r w:rsidRPr="00602F20">
        <w:rPr>
          <w:rFonts w:ascii="Arial" w:hAnsi="Arial" w:cs="Arial"/>
          <w:sz w:val="22"/>
          <w:szCs w:val="22"/>
        </w:rPr>
        <w:t>Growth</w:t>
      </w:r>
      <w:r>
        <w:rPr>
          <w:rFonts w:ascii="Arial" w:hAnsi="Arial" w:cs="Arial"/>
          <w:sz w:val="22"/>
          <w:szCs w:val="22"/>
        </w:rPr>
        <w:t xml:space="preserve"> </w:t>
      </w:r>
      <w:r w:rsidRPr="00602F20">
        <w:rPr>
          <w:rFonts w:ascii="Arial" w:hAnsi="Arial" w:cs="Arial"/>
          <w:sz w:val="22"/>
          <w:szCs w:val="22"/>
        </w:rPr>
        <w:t xml:space="preserve">was primarily driven by a </w:t>
      </w:r>
      <w:r w:rsidR="000B51EC">
        <w:rPr>
          <w:rFonts w:ascii="Arial" w:hAnsi="Arial" w:cs="Arial"/>
          <w:sz w:val="22"/>
          <w:szCs w:val="22"/>
        </w:rPr>
        <w:t>16.8</w:t>
      </w:r>
      <w:r w:rsidRPr="00602F20">
        <w:rPr>
          <w:rFonts w:ascii="Arial" w:hAnsi="Arial" w:cs="Arial"/>
          <w:sz w:val="22"/>
          <w:szCs w:val="22"/>
        </w:rPr>
        <w:t>% increase in non-dwelling construction, supported by significant investment in</w:t>
      </w:r>
      <w:r>
        <w:rPr>
          <w:rFonts w:ascii="Arial" w:hAnsi="Arial" w:cs="Arial"/>
          <w:sz w:val="22"/>
          <w:szCs w:val="22"/>
        </w:rPr>
        <w:t xml:space="preserve"> </w:t>
      </w:r>
      <w:r w:rsidRPr="00602F20">
        <w:rPr>
          <w:rFonts w:ascii="Arial" w:hAnsi="Arial" w:cs="Arial"/>
          <w:sz w:val="22"/>
          <w:szCs w:val="22"/>
        </w:rPr>
        <w:t>renewable energy projects, including wind and solar farms. Meanwhile, machinery and equipment investment rose</w:t>
      </w:r>
      <w:r>
        <w:rPr>
          <w:rFonts w:ascii="Arial" w:hAnsi="Arial" w:cs="Arial"/>
          <w:sz w:val="22"/>
          <w:szCs w:val="22"/>
        </w:rPr>
        <w:t xml:space="preserve"> </w:t>
      </w:r>
      <w:r w:rsidR="000B51EC">
        <w:rPr>
          <w:rFonts w:ascii="Arial" w:hAnsi="Arial" w:cs="Arial"/>
          <w:sz w:val="22"/>
          <w:szCs w:val="22"/>
        </w:rPr>
        <w:t>7.7</w:t>
      </w:r>
      <w:r w:rsidRPr="00602F20">
        <w:rPr>
          <w:rFonts w:ascii="Arial" w:hAnsi="Arial" w:cs="Arial"/>
          <w:sz w:val="22"/>
          <w:szCs w:val="22"/>
        </w:rPr>
        <w:t xml:space="preserve">%, </w:t>
      </w:r>
      <w:r>
        <w:rPr>
          <w:rFonts w:ascii="Arial" w:hAnsi="Arial" w:cs="Arial"/>
          <w:sz w:val="22"/>
          <w:szCs w:val="22"/>
        </w:rPr>
        <w:t xml:space="preserve">supported by </w:t>
      </w:r>
      <w:r w:rsidRPr="00602F20">
        <w:rPr>
          <w:rFonts w:ascii="Arial" w:hAnsi="Arial" w:cs="Arial"/>
          <w:sz w:val="22"/>
          <w:szCs w:val="22"/>
        </w:rPr>
        <w:t>strong employment growth, elevated capacity utilisation and</w:t>
      </w:r>
      <w:r>
        <w:rPr>
          <w:rFonts w:ascii="Arial" w:hAnsi="Arial" w:cs="Arial"/>
          <w:sz w:val="22"/>
          <w:szCs w:val="22"/>
        </w:rPr>
        <w:t xml:space="preserve"> </w:t>
      </w:r>
      <w:r w:rsidRPr="00602F20">
        <w:rPr>
          <w:rFonts w:ascii="Arial" w:hAnsi="Arial" w:cs="Arial"/>
          <w:sz w:val="22"/>
          <w:szCs w:val="22"/>
        </w:rPr>
        <w:t>sustained lower lending rates.</w:t>
      </w:r>
      <w:r>
        <w:rPr>
          <w:rFonts w:ascii="Arial" w:hAnsi="Arial" w:cs="Arial"/>
          <w:sz w:val="22"/>
          <w:szCs w:val="22"/>
        </w:rPr>
        <w:t xml:space="preserve"> </w:t>
      </w:r>
      <w:r w:rsidRPr="00602F20">
        <w:rPr>
          <w:rFonts w:ascii="Arial" w:hAnsi="Arial" w:cs="Arial"/>
          <w:sz w:val="22"/>
          <w:szCs w:val="22"/>
        </w:rPr>
        <w:t>However, recent data suggests business investment will ease slightly in 2018</w:t>
      </w:r>
      <w:r w:rsidR="00167B46">
        <w:rPr>
          <w:rFonts w:ascii="Arial" w:hAnsi="Arial" w:cs="Arial"/>
          <w:sz w:val="22"/>
          <w:szCs w:val="22"/>
        </w:rPr>
        <w:t>–</w:t>
      </w:r>
      <w:r w:rsidRPr="00602F20">
        <w:rPr>
          <w:rFonts w:ascii="Arial" w:hAnsi="Arial" w:cs="Arial"/>
          <w:sz w:val="22"/>
          <w:szCs w:val="22"/>
        </w:rPr>
        <w:t>19, before continuing its expansion from 2019</w:t>
      </w:r>
      <w:r w:rsidR="00167B46">
        <w:rPr>
          <w:rFonts w:ascii="Arial" w:hAnsi="Arial" w:cs="Arial"/>
          <w:sz w:val="22"/>
          <w:szCs w:val="22"/>
        </w:rPr>
        <w:t>–</w:t>
      </w:r>
      <w:r w:rsidRPr="00602F20">
        <w:rPr>
          <w:rFonts w:ascii="Arial" w:hAnsi="Arial" w:cs="Arial"/>
          <w:sz w:val="22"/>
          <w:szCs w:val="22"/>
        </w:rPr>
        <w:t>20 onwards. Investment in renewable</w:t>
      </w:r>
      <w:r>
        <w:rPr>
          <w:rFonts w:ascii="Arial" w:hAnsi="Arial" w:cs="Arial"/>
          <w:sz w:val="22"/>
          <w:szCs w:val="22"/>
        </w:rPr>
        <w:t xml:space="preserve"> </w:t>
      </w:r>
      <w:r w:rsidRPr="00602F20">
        <w:rPr>
          <w:rFonts w:ascii="Arial" w:hAnsi="Arial" w:cs="Arial"/>
          <w:sz w:val="22"/>
          <w:szCs w:val="22"/>
        </w:rPr>
        <w:t>energy projects is likely to continue to support engineering c</w:t>
      </w:r>
      <w:r>
        <w:rPr>
          <w:rFonts w:ascii="Arial" w:hAnsi="Arial" w:cs="Arial"/>
          <w:sz w:val="22"/>
          <w:szCs w:val="22"/>
        </w:rPr>
        <w:t>onstruction activity in 2018</w:t>
      </w:r>
      <w:r w:rsidR="00167B46">
        <w:rPr>
          <w:rFonts w:ascii="Arial" w:hAnsi="Arial" w:cs="Arial"/>
          <w:sz w:val="22"/>
          <w:szCs w:val="22"/>
        </w:rPr>
        <w:t>–</w:t>
      </w:r>
      <w:r>
        <w:rPr>
          <w:rFonts w:ascii="Arial" w:hAnsi="Arial" w:cs="Arial"/>
          <w:sz w:val="22"/>
          <w:szCs w:val="22"/>
        </w:rPr>
        <w:t>19, while a</w:t>
      </w:r>
      <w:r w:rsidRPr="00602F20">
        <w:rPr>
          <w:rFonts w:ascii="Arial" w:hAnsi="Arial" w:cs="Arial"/>
          <w:sz w:val="22"/>
          <w:szCs w:val="22"/>
        </w:rPr>
        <w:t xml:space="preserve"> sustained lower A$ has supported the Queensland tourism industry and spurred further investment in hotel</w:t>
      </w:r>
      <w:r>
        <w:rPr>
          <w:rFonts w:ascii="Arial" w:hAnsi="Arial" w:cs="Arial"/>
          <w:sz w:val="22"/>
          <w:szCs w:val="22"/>
        </w:rPr>
        <w:t xml:space="preserve"> </w:t>
      </w:r>
      <w:r w:rsidRPr="00602F20">
        <w:rPr>
          <w:rFonts w:ascii="Arial" w:hAnsi="Arial" w:cs="Arial"/>
          <w:sz w:val="22"/>
          <w:szCs w:val="22"/>
        </w:rPr>
        <w:t xml:space="preserve">accommodation projects. </w:t>
      </w:r>
    </w:p>
    <w:p w14:paraId="682F99C3" w14:textId="3DDD5D7C" w:rsidR="005A2CE4" w:rsidRPr="00131079" w:rsidRDefault="005A2CE4" w:rsidP="00B00A90">
      <w:pPr>
        <w:spacing w:before="120" w:after="240" w:line="360" w:lineRule="auto"/>
        <w:jc w:val="both"/>
        <w:rPr>
          <w:rFonts w:ascii="Arial" w:hAnsi="Arial" w:cs="Arial"/>
          <w:sz w:val="22"/>
          <w:szCs w:val="22"/>
        </w:rPr>
      </w:pPr>
      <w:r w:rsidRPr="00D56596">
        <w:rPr>
          <w:rFonts w:ascii="Arial" w:hAnsi="Arial" w:cs="Arial"/>
          <w:sz w:val="22"/>
          <w:szCs w:val="22"/>
        </w:rPr>
        <w:t>The nominal value of Queensland’s overseas goods and services exports reached a record high of $94.3 billion in</w:t>
      </w:r>
      <w:r>
        <w:rPr>
          <w:rFonts w:ascii="Arial" w:hAnsi="Arial" w:cs="Arial"/>
          <w:sz w:val="22"/>
          <w:szCs w:val="22"/>
        </w:rPr>
        <w:t xml:space="preserve"> </w:t>
      </w:r>
      <w:r w:rsidRPr="00D56596">
        <w:rPr>
          <w:rFonts w:ascii="Arial" w:hAnsi="Arial" w:cs="Arial"/>
          <w:sz w:val="22"/>
          <w:szCs w:val="22"/>
        </w:rPr>
        <w:t>2017</w:t>
      </w:r>
      <w:r w:rsidR="00167B46">
        <w:rPr>
          <w:rFonts w:ascii="Arial" w:hAnsi="Arial" w:cs="Arial"/>
          <w:sz w:val="22"/>
          <w:szCs w:val="22"/>
        </w:rPr>
        <w:t>–</w:t>
      </w:r>
      <w:r w:rsidRPr="00D56596">
        <w:rPr>
          <w:rFonts w:ascii="Arial" w:hAnsi="Arial" w:cs="Arial"/>
          <w:sz w:val="22"/>
          <w:szCs w:val="22"/>
        </w:rPr>
        <w:t>18, boosted by a recovery in coal export volumes, as well as sustained high global commodity prices.</w:t>
      </w:r>
      <w:r>
        <w:rPr>
          <w:rFonts w:ascii="Arial" w:hAnsi="Arial" w:cs="Arial"/>
          <w:sz w:val="22"/>
          <w:szCs w:val="22"/>
        </w:rPr>
        <w:t xml:space="preserve"> </w:t>
      </w:r>
      <w:r w:rsidRPr="00D56596">
        <w:rPr>
          <w:rFonts w:ascii="Arial" w:hAnsi="Arial" w:cs="Arial"/>
          <w:sz w:val="22"/>
          <w:szCs w:val="22"/>
        </w:rPr>
        <w:t>Looking ahead, while commodity prices are expected to return to more sustainable levels, export volumes are</w:t>
      </w:r>
      <w:r>
        <w:rPr>
          <w:rFonts w:ascii="Arial" w:hAnsi="Arial" w:cs="Arial"/>
          <w:sz w:val="22"/>
          <w:szCs w:val="22"/>
        </w:rPr>
        <w:t xml:space="preserve"> </w:t>
      </w:r>
      <w:r w:rsidRPr="00D56596">
        <w:rPr>
          <w:rFonts w:ascii="Arial" w:hAnsi="Arial" w:cs="Arial"/>
          <w:sz w:val="22"/>
          <w:szCs w:val="22"/>
        </w:rPr>
        <w:t>forecast to continue to grow, reflecting modest growth in resources exports, increased metals mining capacity</w:t>
      </w:r>
      <w:r>
        <w:rPr>
          <w:rFonts w:ascii="Arial" w:hAnsi="Arial" w:cs="Arial"/>
          <w:sz w:val="22"/>
          <w:szCs w:val="22"/>
        </w:rPr>
        <w:t xml:space="preserve"> </w:t>
      </w:r>
      <w:r w:rsidRPr="00D56596">
        <w:rPr>
          <w:rFonts w:ascii="Arial" w:hAnsi="Arial" w:cs="Arial"/>
          <w:sz w:val="22"/>
          <w:szCs w:val="22"/>
        </w:rPr>
        <w:t>coming online and a competitive A$ exchange rate supporting ongoing growth in services exports.</w:t>
      </w:r>
      <w:r w:rsidRPr="00D56596" w:rsidDel="00D56596">
        <w:rPr>
          <w:rFonts w:ascii="Arial" w:hAnsi="Arial" w:cs="Arial"/>
          <w:sz w:val="22"/>
          <w:szCs w:val="22"/>
        </w:rPr>
        <w:t xml:space="preserve"> </w:t>
      </w:r>
      <w:r>
        <w:rPr>
          <w:rFonts w:ascii="Arial" w:hAnsi="Arial" w:cs="Arial"/>
          <w:sz w:val="22"/>
          <w:szCs w:val="22"/>
        </w:rPr>
        <w:t xml:space="preserve"> </w:t>
      </w:r>
    </w:p>
    <w:p w14:paraId="052ABC83" w14:textId="7682B990" w:rsidR="005A2CE4" w:rsidRPr="00131079" w:rsidRDefault="005A2CE4" w:rsidP="00B00A90">
      <w:pPr>
        <w:spacing w:before="120" w:after="240" w:line="360" w:lineRule="auto"/>
        <w:jc w:val="both"/>
        <w:rPr>
          <w:rFonts w:ascii="Arial" w:hAnsi="Arial" w:cs="Arial"/>
          <w:sz w:val="22"/>
          <w:szCs w:val="22"/>
        </w:rPr>
      </w:pPr>
      <w:r w:rsidRPr="00B315CE">
        <w:rPr>
          <w:rFonts w:ascii="Arial" w:hAnsi="Arial" w:cs="Arial"/>
          <w:sz w:val="22"/>
          <w:szCs w:val="22"/>
        </w:rPr>
        <w:t>Following the strongest growth in a decade in 2017</w:t>
      </w:r>
      <w:r w:rsidR="00167B46">
        <w:rPr>
          <w:rFonts w:ascii="Arial" w:hAnsi="Arial" w:cs="Arial"/>
          <w:sz w:val="22"/>
          <w:szCs w:val="22"/>
        </w:rPr>
        <w:t>–</w:t>
      </w:r>
      <w:r w:rsidRPr="00B315CE">
        <w:rPr>
          <w:rFonts w:ascii="Arial" w:hAnsi="Arial" w:cs="Arial"/>
          <w:sz w:val="22"/>
          <w:szCs w:val="22"/>
        </w:rPr>
        <w:t>18, employment growth is expected</w:t>
      </w:r>
      <w:r>
        <w:rPr>
          <w:rFonts w:ascii="Arial" w:hAnsi="Arial" w:cs="Arial"/>
          <w:sz w:val="22"/>
          <w:szCs w:val="22"/>
        </w:rPr>
        <w:t xml:space="preserve"> </w:t>
      </w:r>
      <w:r w:rsidRPr="00B315CE">
        <w:rPr>
          <w:rFonts w:ascii="Arial" w:hAnsi="Arial" w:cs="Arial"/>
          <w:sz w:val="22"/>
          <w:szCs w:val="22"/>
        </w:rPr>
        <w:t xml:space="preserve">to return to more sustainable rates, to be 1½% </w:t>
      </w:r>
      <w:r>
        <w:rPr>
          <w:rFonts w:ascii="Arial" w:hAnsi="Arial" w:cs="Arial"/>
          <w:sz w:val="22"/>
          <w:szCs w:val="22"/>
        </w:rPr>
        <w:t>through</w:t>
      </w:r>
      <w:r w:rsidRPr="00B315CE">
        <w:rPr>
          <w:rFonts w:ascii="Arial" w:hAnsi="Arial" w:cs="Arial"/>
          <w:sz w:val="22"/>
          <w:szCs w:val="22"/>
        </w:rPr>
        <w:t xml:space="preserve"> the year to June quarter 2019</w:t>
      </w:r>
      <w:r>
        <w:rPr>
          <w:rFonts w:ascii="Arial" w:hAnsi="Arial" w:cs="Arial"/>
          <w:sz w:val="22"/>
          <w:szCs w:val="22"/>
        </w:rPr>
        <w:t>.</w:t>
      </w:r>
      <w:r w:rsidRPr="00131079">
        <w:rPr>
          <w:rFonts w:ascii="Arial" w:hAnsi="Arial" w:cs="Arial"/>
          <w:sz w:val="22"/>
          <w:szCs w:val="22"/>
        </w:rPr>
        <w:t xml:space="preserve"> </w:t>
      </w:r>
      <w:r w:rsidR="00B00A90">
        <w:rPr>
          <w:rFonts w:ascii="Arial" w:hAnsi="Arial" w:cs="Arial"/>
          <w:sz w:val="22"/>
          <w:szCs w:val="22"/>
        </w:rPr>
        <w:br/>
      </w:r>
      <w:r>
        <w:rPr>
          <w:rFonts w:ascii="Arial" w:hAnsi="Arial" w:cs="Arial"/>
          <w:sz w:val="22"/>
          <w:szCs w:val="22"/>
        </w:rPr>
        <w:t>Through</w:t>
      </w:r>
      <w:r w:rsidRPr="00B315CE">
        <w:rPr>
          <w:rFonts w:ascii="Arial" w:hAnsi="Arial" w:cs="Arial"/>
          <w:sz w:val="22"/>
          <w:szCs w:val="22"/>
        </w:rPr>
        <w:t xml:space="preserve"> the year to June quarter</w:t>
      </w:r>
      <w:r>
        <w:rPr>
          <w:rFonts w:ascii="Arial" w:hAnsi="Arial" w:cs="Arial"/>
          <w:sz w:val="22"/>
          <w:szCs w:val="22"/>
        </w:rPr>
        <w:t xml:space="preserve"> </w:t>
      </w:r>
      <w:r w:rsidRPr="00B315CE">
        <w:rPr>
          <w:rFonts w:ascii="Arial" w:hAnsi="Arial" w:cs="Arial"/>
          <w:sz w:val="22"/>
          <w:szCs w:val="22"/>
        </w:rPr>
        <w:t xml:space="preserve">2020, employment growth is expected to pick up to 1¾%, </w:t>
      </w:r>
      <w:r w:rsidR="00B00A90">
        <w:rPr>
          <w:rFonts w:ascii="Arial" w:hAnsi="Arial" w:cs="Arial"/>
          <w:sz w:val="22"/>
          <w:szCs w:val="22"/>
        </w:rPr>
        <w:br/>
      </w:r>
      <w:r w:rsidRPr="00B315CE">
        <w:rPr>
          <w:rFonts w:ascii="Arial" w:hAnsi="Arial" w:cs="Arial"/>
          <w:sz w:val="22"/>
          <w:szCs w:val="22"/>
        </w:rPr>
        <w:t>in line with population growth</w:t>
      </w:r>
      <w:r>
        <w:rPr>
          <w:rFonts w:ascii="Arial" w:hAnsi="Arial" w:cs="Arial"/>
          <w:sz w:val="22"/>
          <w:szCs w:val="22"/>
        </w:rPr>
        <w:t xml:space="preserve">. </w:t>
      </w:r>
      <w:r w:rsidRPr="00B315CE">
        <w:rPr>
          <w:rFonts w:ascii="Arial" w:hAnsi="Arial" w:cs="Arial"/>
          <w:sz w:val="22"/>
          <w:szCs w:val="22"/>
        </w:rPr>
        <w:t>With employment growth forecast to largely keep pace with population growth over the next two years, the</w:t>
      </w:r>
      <w:r>
        <w:rPr>
          <w:rFonts w:ascii="Arial" w:hAnsi="Arial" w:cs="Arial"/>
          <w:sz w:val="22"/>
          <w:szCs w:val="22"/>
        </w:rPr>
        <w:t xml:space="preserve"> </w:t>
      </w:r>
      <w:r w:rsidRPr="00B315CE">
        <w:rPr>
          <w:rFonts w:ascii="Arial" w:hAnsi="Arial" w:cs="Arial"/>
          <w:sz w:val="22"/>
          <w:szCs w:val="22"/>
        </w:rPr>
        <w:t>unemployment rate is still forecast to remain at 6¼% in June quarter 2019</w:t>
      </w:r>
      <w:r>
        <w:rPr>
          <w:rFonts w:ascii="Arial" w:hAnsi="Arial" w:cs="Arial"/>
          <w:sz w:val="22"/>
          <w:szCs w:val="22"/>
        </w:rPr>
        <w:t>,</w:t>
      </w:r>
      <w:r w:rsidRPr="00B315CE">
        <w:rPr>
          <w:rFonts w:ascii="Arial" w:hAnsi="Arial" w:cs="Arial"/>
          <w:sz w:val="22"/>
          <w:szCs w:val="22"/>
        </w:rPr>
        <w:t xml:space="preserve"> while a modest improvement to 6% is</w:t>
      </w:r>
      <w:r>
        <w:rPr>
          <w:rFonts w:ascii="Arial" w:hAnsi="Arial" w:cs="Arial"/>
          <w:sz w:val="22"/>
          <w:szCs w:val="22"/>
        </w:rPr>
        <w:t xml:space="preserve"> </w:t>
      </w:r>
      <w:r w:rsidRPr="00B315CE">
        <w:rPr>
          <w:rFonts w:ascii="Arial" w:hAnsi="Arial" w:cs="Arial"/>
          <w:sz w:val="22"/>
          <w:szCs w:val="22"/>
        </w:rPr>
        <w:t>expected by June quarter 2020</w:t>
      </w:r>
      <w:r>
        <w:rPr>
          <w:rFonts w:ascii="Arial" w:hAnsi="Arial" w:cs="Arial"/>
          <w:sz w:val="22"/>
          <w:szCs w:val="22"/>
        </w:rPr>
        <w:t xml:space="preserve">. </w:t>
      </w:r>
      <w:r w:rsidRPr="00B315CE">
        <w:rPr>
          <w:rFonts w:ascii="Arial" w:hAnsi="Arial" w:cs="Arial"/>
          <w:sz w:val="22"/>
          <w:szCs w:val="22"/>
        </w:rPr>
        <w:t>While not uniform, labour market conditions in regional Queensland have continued to converge with those in</w:t>
      </w:r>
      <w:r>
        <w:rPr>
          <w:rFonts w:ascii="Arial" w:hAnsi="Arial" w:cs="Arial"/>
          <w:sz w:val="22"/>
          <w:szCs w:val="22"/>
        </w:rPr>
        <w:t xml:space="preserve"> </w:t>
      </w:r>
      <w:r w:rsidRPr="00B315CE">
        <w:rPr>
          <w:rFonts w:ascii="Arial" w:hAnsi="Arial" w:cs="Arial"/>
          <w:sz w:val="22"/>
          <w:szCs w:val="22"/>
        </w:rPr>
        <w:t xml:space="preserve">South East Queensland over the past 12 months. </w:t>
      </w:r>
    </w:p>
    <w:p w14:paraId="538EABEE" w14:textId="1C2DA6DD" w:rsidR="005A2CE4" w:rsidRDefault="005A2CE4" w:rsidP="00B00A90">
      <w:pPr>
        <w:spacing w:before="120" w:after="240" w:line="360" w:lineRule="auto"/>
        <w:jc w:val="both"/>
        <w:rPr>
          <w:rFonts w:ascii="Arial" w:hAnsi="Arial" w:cs="Arial"/>
          <w:sz w:val="22"/>
          <w:szCs w:val="22"/>
        </w:rPr>
      </w:pPr>
      <w:r>
        <w:rPr>
          <w:rFonts w:ascii="Arial" w:hAnsi="Arial" w:cs="Arial"/>
          <w:sz w:val="22"/>
          <w:szCs w:val="22"/>
        </w:rPr>
        <w:t>Despite the strong pick-up in employment, the unemployment rate remains largely unchanged, while the</w:t>
      </w:r>
      <w:r w:rsidRPr="00131079">
        <w:rPr>
          <w:rFonts w:ascii="Arial" w:hAnsi="Arial" w:cs="Arial"/>
          <w:sz w:val="22"/>
          <w:szCs w:val="22"/>
        </w:rPr>
        <w:t xml:space="preserve"> </w:t>
      </w:r>
      <w:r>
        <w:rPr>
          <w:rFonts w:ascii="Arial" w:hAnsi="Arial" w:cs="Arial"/>
          <w:sz w:val="22"/>
          <w:szCs w:val="22"/>
        </w:rPr>
        <w:t xml:space="preserve">labour underutilisation rate remains elevated, partly explaining subdued </w:t>
      </w:r>
      <w:r w:rsidRPr="00131079">
        <w:rPr>
          <w:rFonts w:ascii="Arial" w:hAnsi="Arial" w:cs="Arial"/>
          <w:sz w:val="22"/>
          <w:szCs w:val="22"/>
        </w:rPr>
        <w:t>wages growth</w:t>
      </w:r>
      <w:r>
        <w:rPr>
          <w:rFonts w:ascii="Arial" w:hAnsi="Arial" w:cs="Arial"/>
          <w:sz w:val="22"/>
          <w:szCs w:val="22"/>
        </w:rPr>
        <w:t>.</w:t>
      </w:r>
      <w:r w:rsidRPr="00131079">
        <w:rPr>
          <w:rFonts w:ascii="Arial" w:hAnsi="Arial" w:cs="Arial"/>
          <w:sz w:val="22"/>
          <w:szCs w:val="22"/>
        </w:rPr>
        <w:t xml:space="preserve"> </w:t>
      </w:r>
      <w:r>
        <w:rPr>
          <w:rFonts w:ascii="Arial" w:hAnsi="Arial" w:cs="Arial"/>
          <w:sz w:val="22"/>
          <w:szCs w:val="22"/>
        </w:rPr>
        <w:t>Wages growth in 2017</w:t>
      </w:r>
      <w:r w:rsidR="00167B46">
        <w:rPr>
          <w:rFonts w:ascii="Arial" w:hAnsi="Arial" w:cs="Arial"/>
          <w:sz w:val="22"/>
          <w:szCs w:val="22"/>
        </w:rPr>
        <w:t>–</w:t>
      </w:r>
      <w:r>
        <w:rPr>
          <w:rFonts w:ascii="Arial" w:hAnsi="Arial" w:cs="Arial"/>
          <w:sz w:val="22"/>
          <w:szCs w:val="22"/>
        </w:rPr>
        <w:t xml:space="preserve">18 picked up slightly from its historic low, with the Wage Price Index up 2.2% compared with 1.9% growth recorded in each of the previous two financial years. Wages growth </w:t>
      </w:r>
      <w:r w:rsidRPr="00131079">
        <w:rPr>
          <w:rFonts w:ascii="Arial" w:hAnsi="Arial" w:cs="Arial"/>
          <w:sz w:val="22"/>
          <w:szCs w:val="22"/>
        </w:rPr>
        <w:t>in Queensland</w:t>
      </w:r>
      <w:r>
        <w:rPr>
          <w:rFonts w:ascii="Arial" w:hAnsi="Arial" w:cs="Arial"/>
          <w:sz w:val="22"/>
          <w:szCs w:val="22"/>
        </w:rPr>
        <w:t xml:space="preserve"> in 2018</w:t>
      </w:r>
      <w:r w:rsidR="00167B46">
        <w:rPr>
          <w:rFonts w:ascii="Arial" w:hAnsi="Arial" w:cs="Arial"/>
          <w:sz w:val="22"/>
          <w:szCs w:val="22"/>
        </w:rPr>
        <w:t>–</w:t>
      </w:r>
      <w:r>
        <w:rPr>
          <w:rFonts w:ascii="Arial" w:hAnsi="Arial" w:cs="Arial"/>
          <w:sz w:val="22"/>
          <w:szCs w:val="22"/>
        </w:rPr>
        <w:t>19</w:t>
      </w:r>
      <w:r w:rsidRPr="00131079">
        <w:rPr>
          <w:rFonts w:ascii="Arial" w:hAnsi="Arial" w:cs="Arial"/>
          <w:sz w:val="22"/>
          <w:szCs w:val="22"/>
        </w:rPr>
        <w:t xml:space="preserve"> is expected to remain modest, </w:t>
      </w:r>
      <w:r>
        <w:rPr>
          <w:rFonts w:ascii="Arial" w:hAnsi="Arial" w:cs="Arial"/>
          <w:sz w:val="22"/>
          <w:szCs w:val="22"/>
        </w:rPr>
        <w:t>however a subdued price inflation outlook means that wages are expected to grow in real terms</w:t>
      </w:r>
      <w:r w:rsidRPr="00131079">
        <w:rPr>
          <w:rFonts w:ascii="Arial" w:hAnsi="Arial" w:cs="Arial"/>
          <w:sz w:val="22"/>
          <w:szCs w:val="22"/>
        </w:rPr>
        <w:t xml:space="preserve">. </w:t>
      </w:r>
    </w:p>
    <w:p w14:paraId="2366A819" w14:textId="77777777" w:rsidR="005A2CE4" w:rsidRPr="00BA3E2A" w:rsidRDefault="005A2CE4" w:rsidP="005A2CE4">
      <w:pPr>
        <w:pStyle w:val="Heading3"/>
        <w:spacing w:before="120" w:after="240"/>
        <w:rPr>
          <w:rFonts w:eastAsiaTheme="majorEastAsia"/>
          <w:b w:val="0"/>
          <w:bCs w:val="0"/>
          <w:color w:val="7B230B" w:themeColor="accent1" w:themeShade="BF"/>
          <w:sz w:val="28"/>
          <w:szCs w:val="28"/>
          <w:lang w:eastAsia="en-US"/>
        </w:rPr>
      </w:pPr>
      <w:bookmarkStart w:id="19" w:name="_Toc2688648"/>
      <w:r w:rsidRPr="00BA3E2A">
        <w:rPr>
          <w:rFonts w:eastAsiaTheme="majorEastAsia"/>
          <w:b w:val="0"/>
          <w:bCs w:val="0"/>
          <w:color w:val="7B230B" w:themeColor="accent1" w:themeShade="BF"/>
          <w:sz w:val="28"/>
          <w:szCs w:val="28"/>
          <w:lang w:eastAsia="en-US"/>
        </w:rPr>
        <w:t>Risks to the outlook</w:t>
      </w:r>
      <w:bookmarkEnd w:id="19"/>
    </w:p>
    <w:p w14:paraId="344B8A5E" w14:textId="285A5E1A" w:rsidR="0050682D" w:rsidRDefault="0050682D" w:rsidP="0050682D">
      <w:pPr>
        <w:spacing w:before="120" w:after="240" w:line="360" w:lineRule="auto"/>
        <w:jc w:val="both"/>
        <w:rPr>
          <w:rFonts w:ascii="Arial" w:hAnsi="Arial" w:cs="Arial"/>
          <w:sz w:val="22"/>
          <w:szCs w:val="22"/>
        </w:rPr>
      </w:pPr>
      <w:r>
        <w:rPr>
          <w:rFonts w:ascii="Arial" w:hAnsi="Arial" w:cs="Arial"/>
          <w:sz w:val="22"/>
          <w:szCs w:val="22"/>
        </w:rPr>
        <w:t xml:space="preserve">Further monetary policy normalisation has taken place in major economies, but more recently downside risks to global economic growth have intensified. </w:t>
      </w:r>
      <w:r w:rsidR="007E7A4A">
        <w:rPr>
          <w:rFonts w:ascii="Arial" w:hAnsi="Arial" w:cs="Arial"/>
          <w:sz w:val="22"/>
          <w:szCs w:val="22"/>
        </w:rPr>
        <w:t>A</w:t>
      </w:r>
      <w:r>
        <w:rPr>
          <w:rFonts w:ascii="Arial" w:hAnsi="Arial" w:cs="Arial"/>
          <w:sz w:val="22"/>
          <w:szCs w:val="22"/>
        </w:rPr>
        <w:t>n escalation in the US-China trade war has increased the risk that demand for key industrial commodities will be impaired. This heightened uncertainty has driven recent falls in global and domestic share markets, impacting wealth and potentially restraining any recovery in household consumption.</w:t>
      </w:r>
    </w:p>
    <w:p w14:paraId="51081655" w14:textId="77777777" w:rsidR="0050682D" w:rsidRDefault="0050682D" w:rsidP="0050682D">
      <w:pPr>
        <w:spacing w:before="120" w:after="240" w:line="360" w:lineRule="auto"/>
        <w:jc w:val="both"/>
        <w:rPr>
          <w:rFonts w:ascii="Arial" w:hAnsi="Arial" w:cs="Arial"/>
          <w:sz w:val="22"/>
          <w:szCs w:val="22"/>
        </w:rPr>
      </w:pPr>
      <w:r>
        <w:rPr>
          <w:rFonts w:ascii="Arial" w:hAnsi="Arial" w:cs="Arial"/>
          <w:sz w:val="22"/>
          <w:szCs w:val="22"/>
        </w:rPr>
        <w:t>As a result, the US Federal Reserve has indicated that future monetary normalisation may be delayed and both China and India have introduced further monetary stimulus. The Reserve Bank of Australia (RBA) has also recently stated that the prospects of a rise or fall in the cash rate are now evenly balanced.</w:t>
      </w:r>
    </w:p>
    <w:p w14:paraId="4329732D" w14:textId="396E1DEB" w:rsidR="005A2CE4" w:rsidRDefault="005A2CE4" w:rsidP="00B00A90">
      <w:pPr>
        <w:spacing w:before="120" w:after="240" w:line="360" w:lineRule="auto"/>
        <w:jc w:val="both"/>
        <w:rPr>
          <w:rFonts w:ascii="Arial" w:hAnsi="Arial" w:cs="Arial"/>
          <w:sz w:val="22"/>
          <w:szCs w:val="22"/>
        </w:rPr>
      </w:pPr>
      <w:r w:rsidRPr="006A23FE">
        <w:rPr>
          <w:rFonts w:ascii="Arial" w:hAnsi="Arial" w:cs="Arial"/>
          <w:sz w:val="22"/>
          <w:szCs w:val="22"/>
        </w:rPr>
        <w:t>On the upside, if commodity prices moderate less than anticipated, investment in mining</w:t>
      </w:r>
      <w:r>
        <w:rPr>
          <w:rFonts w:ascii="Arial" w:hAnsi="Arial" w:cs="Arial"/>
          <w:sz w:val="22"/>
          <w:szCs w:val="22"/>
        </w:rPr>
        <w:noBreakHyphen/>
      </w:r>
      <w:r w:rsidRPr="006A23FE">
        <w:rPr>
          <w:rFonts w:ascii="Arial" w:hAnsi="Arial" w:cs="Arial"/>
          <w:sz w:val="22"/>
          <w:szCs w:val="22"/>
        </w:rPr>
        <w:t>related projects may be</w:t>
      </w:r>
      <w:r>
        <w:rPr>
          <w:rFonts w:ascii="Arial" w:hAnsi="Arial" w:cs="Arial"/>
          <w:sz w:val="22"/>
          <w:szCs w:val="22"/>
        </w:rPr>
        <w:t xml:space="preserve"> </w:t>
      </w:r>
      <w:r w:rsidRPr="006A23FE">
        <w:rPr>
          <w:rFonts w:ascii="Arial" w:hAnsi="Arial" w:cs="Arial"/>
          <w:sz w:val="22"/>
          <w:szCs w:val="22"/>
        </w:rPr>
        <w:t>higher than expected. Further, there is the possibility that the recent increase in investment in renewable projects</w:t>
      </w:r>
      <w:r>
        <w:rPr>
          <w:rFonts w:ascii="Arial" w:hAnsi="Arial" w:cs="Arial"/>
          <w:sz w:val="22"/>
          <w:szCs w:val="22"/>
        </w:rPr>
        <w:t xml:space="preserve"> </w:t>
      </w:r>
      <w:r w:rsidRPr="006A23FE">
        <w:rPr>
          <w:rFonts w:ascii="Arial" w:hAnsi="Arial" w:cs="Arial"/>
          <w:sz w:val="22"/>
          <w:szCs w:val="22"/>
        </w:rPr>
        <w:t>may be sustained for longer than is currently expected</w:t>
      </w:r>
      <w:r>
        <w:rPr>
          <w:rFonts w:ascii="Arial" w:hAnsi="Arial" w:cs="Arial"/>
          <w:sz w:val="22"/>
          <w:szCs w:val="22"/>
        </w:rPr>
        <w:t>.</w:t>
      </w:r>
    </w:p>
    <w:p w14:paraId="2834694E" w14:textId="23C42154" w:rsidR="005A2CE4" w:rsidRDefault="005A2CE4" w:rsidP="00B00A90">
      <w:pPr>
        <w:spacing w:before="120" w:after="240" w:line="360" w:lineRule="auto"/>
        <w:jc w:val="both"/>
        <w:rPr>
          <w:rFonts w:ascii="Arial" w:hAnsi="Arial" w:cs="Arial"/>
          <w:sz w:val="22"/>
          <w:szCs w:val="22"/>
        </w:rPr>
      </w:pPr>
      <w:r>
        <w:rPr>
          <w:rFonts w:ascii="Arial" w:hAnsi="Arial" w:cs="Arial"/>
          <w:sz w:val="22"/>
          <w:szCs w:val="22"/>
        </w:rPr>
        <w:t xml:space="preserve">On the domestic front, the housing market remains a risk to both the national and Queensland economies. After nearly </w:t>
      </w:r>
      <w:r w:rsidR="00D736CC">
        <w:rPr>
          <w:rFonts w:ascii="Arial" w:hAnsi="Arial" w:cs="Arial"/>
          <w:sz w:val="22"/>
          <w:szCs w:val="22"/>
        </w:rPr>
        <w:t>six</w:t>
      </w:r>
      <w:r>
        <w:rPr>
          <w:rFonts w:ascii="Arial" w:hAnsi="Arial" w:cs="Arial"/>
          <w:sz w:val="22"/>
          <w:szCs w:val="22"/>
        </w:rPr>
        <w:t xml:space="preserve"> years of strong dwelling price growth (particularly in Sydney and Melbourne), tighter credit conditions, increased supply and declines in foreign and investor demand have seen dwelling prices fall sharply recently in Sydney and Melbourne, while Perth dwelling prices have also continued to trend lower. There is a risk that continued falls in Sydney and Melbourne could flow-on into the Queensland market. Additionally, the Commonwealth Treasury has forecast a soft outcome for dwelling investment in 2018</w:t>
      </w:r>
      <w:r w:rsidR="00167B46">
        <w:rPr>
          <w:rFonts w:ascii="Arial" w:hAnsi="Arial" w:cs="Arial"/>
          <w:sz w:val="22"/>
          <w:szCs w:val="22"/>
        </w:rPr>
        <w:t>–</w:t>
      </w:r>
      <w:r>
        <w:rPr>
          <w:rFonts w:ascii="Arial" w:hAnsi="Arial" w:cs="Arial"/>
          <w:sz w:val="22"/>
          <w:szCs w:val="22"/>
        </w:rPr>
        <w:t xml:space="preserve">19 and a decline in </w:t>
      </w:r>
      <w:r w:rsidR="00B00A90">
        <w:rPr>
          <w:rFonts w:ascii="Arial" w:hAnsi="Arial" w:cs="Arial"/>
          <w:sz w:val="22"/>
          <w:szCs w:val="22"/>
        </w:rPr>
        <w:br/>
      </w:r>
      <w:r>
        <w:rPr>
          <w:rFonts w:ascii="Arial" w:hAnsi="Arial" w:cs="Arial"/>
          <w:sz w:val="22"/>
          <w:szCs w:val="22"/>
        </w:rPr>
        <w:t>2019</w:t>
      </w:r>
      <w:r w:rsidR="00167B46">
        <w:rPr>
          <w:rFonts w:ascii="Arial" w:hAnsi="Arial" w:cs="Arial"/>
          <w:sz w:val="22"/>
          <w:szCs w:val="22"/>
        </w:rPr>
        <w:t>–</w:t>
      </w:r>
      <w:r>
        <w:rPr>
          <w:rFonts w:ascii="Arial" w:hAnsi="Arial" w:cs="Arial"/>
          <w:sz w:val="22"/>
          <w:szCs w:val="22"/>
        </w:rPr>
        <w:t xml:space="preserve">20. With household debt to income ratios at elevated levels, continued falls in dwelling prices could impact future consumption activity, with household wealth one of the key drivers of household consumption. </w:t>
      </w:r>
    </w:p>
    <w:p w14:paraId="7DB894A6" w14:textId="46031534" w:rsidR="005A2CE4" w:rsidRPr="00BA3E2A" w:rsidRDefault="005A2CE4" w:rsidP="00BA3E2A">
      <w:pPr>
        <w:pStyle w:val="Heading3"/>
        <w:spacing w:before="120" w:after="240"/>
        <w:rPr>
          <w:rFonts w:eastAsiaTheme="majorEastAsia"/>
          <w:b w:val="0"/>
          <w:bCs w:val="0"/>
          <w:color w:val="7B230B" w:themeColor="accent1" w:themeShade="BF"/>
          <w:sz w:val="28"/>
          <w:szCs w:val="28"/>
          <w:lang w:eastAsia="en-US"/>
        </w:rPr>
      </w:pPr>
      <w:bookmarkStart w:id="20" w:name="_Toc2688649"/>
      <w:r w:rsidRPr="00BA3E2A">
        <w:rPr>
          <w:rFonts w:eastAsiaTheme="majorEastAsia"/>
          <w:b w:val="0"/>
          <w:bCs w:val="0"/>
          <w:color w:val="7B230B" w:themeColor="accent1" w:themeShade="BF"/>
          <w:sz w:val="28"/>
          <w:szCs w:val="28"/>
          <w:lang w:eastAsia="en-US"/>
        </w:rPr>
        <w:t>Economic implications of low wage growth</w:t>
      </w:r>
      <w:bookmarkEnd w:id="20"/>
    </w:p>
    <w:p w14:paraId="2D2B90CD" w14:textId="77777777" w:rsidR="005A2CE4" w:rsidRDefault="005A2CE4" w:rsidP="00B00A90">
      <w:pPr>
        <w:spacing w:before="120" w:after="240" w:line="360" w:lineRule="auto"/>
        <w:jc w:val="both"/>
        <w:rPr>
          <w:rFonts w:ascii="Arial" w:hAnsi="Arial" w:cs="Arial"/>
          <w:sz w:val="22"/>
          <w:szCs w:val="22"/>
        </w:rPr>
      </w:pPr>
      <w:r>
        <w:rPr>
          <w:rFonts w:ascii="Arial" w:hAnsi="Arial" w:cs="Arial"/>
          <w:sz w:val="22"/>
          <w:szCs w:val="22"/>
        </w:rPr>
        <w:t xml:space="preserve">Australia has experienced a sustained period of subdued wage growth, both in the public and private sectors. Seasonally adjusted wage growth was just </w:t>
      </w:r>
      <w:r w:rsidRPr="007B1BB2">
        <w:rPr>
          <w:rFonts w:ascii="Arial" w:hAnsi="Arial" w:cs="Arial"/>
          <w:sz w:val="22"/>
          <w:szCs w:val="22"/>
        </w:rPr>
        <w:t>2.</w:t>
      </w:r>
      <w:r>
        <w:rPr>
          <w:rFonts w:ascii="Arial" w:hAnsi="Arial" w:cs="Arial"/>
          <w:sz w:val="22"/>
          <w:szCs w:val="22"/>
        </w:rPr>
        <w:t>3</w:t>
      </w:r>
      <w:r w:rsidRPr="007B1BB2">
        <w:rPr>
          <w:rFonts w:ascii="Arial" w:hAnsi="Arial" w:cs="Arial"/>
          <w:sz w:val="22"/>
          <w:szCs w:val="22"/>
        </w:rPr>
        <w:t xml:space="preserve">% </w:t>
      </w:r>
      <w:r>
        <w:rPr>
          <w:rFonts w:ascii="Arial" w:hAnsi="Arial" w:cs="Arial"/>
          <w:sz w:val="22"/>
          <w:szCs w:val="22"/>
        </w:rPr>
        <w:t>through</w:t>
      </w:r>
      <w:r w:rsidRPr="007B1BB2">
        <w:rPr>
          <w:rFonts w:ascii="Arial" w:hAnsi="Arial" w:cs="Arial"/>
          <w:sz w:val="22"/>
          <w:szCs w:val="22"/>
        </w:rPr>
        <w:t xml:space="preserve"> the year to </w:t>
      </w:r>
      <w:r>
        <w:rPr>
          <w:rFonts w:ascii="Arial" w:hAnsi="Arial" w:cs="Arial"/>
          <w:sz w:val="22"/>
          <w:szCs w:val="22"/>
        </w:rPr>
        <w:t>September</w:t>
      </w:r>
      <w:r w:rsidRPr="007B1BB2">
        <w:rPr>
          <w:rFonts w:ascii="Arial" w:hAnsi="Arial" w:cs="Arial"/>
          <w:sz w:val="22"/>
          <w:szCs w:val="22"/>
        </w:rPr>
        <w:t xml:space="preserve"> quarter 201</w:t>
      </w:r>
      <w:r>
        <w:rPr>
          <w:rFonts w:ascii="Arial" w:hAnsi="Arial" w:cs="Arial"/>
          <w:sz w:val="22"/>
          <w:szCs w:val="22"/>
        </w:rPr>
        <w:t>8</w:t>
      </w:r>
      <w:r w:rsidRPr="007B1BB2">
        <w:rPr>
          <w:rFonts w:ascii="Arial" w:hAnsi="Arial" w:cs="Arial"/>
          <w:sz w:val="22"/>
          <w:szCs w:val="22"/>
        </w:rPr>
        <w:t>,</w:t>
      </w:r>
      <w:r>
        <w:rPr>
          <w:rFonts w:ascii="Arial" w:hAnsi="Arial" w:cs="Arial"/>
          <w:sz w:val="22"/>
          <w:szCs w:val="22"/>
        </w:rPr>
        <w:t xml:space="preserve"> a slight increase from the annual rate in June quarter 2018 (2.1%) and the historically low annual growth rate of 1.9% recorded in previous quarters.</w:t>
      </w:r>
    </w:p>
    <w:p w14:paraId="44B381B6" w14:textId="5810D030" w:rsidR="009B6FF5" w:rsidRDefault="005A2CE4" w:rsidP="00B00A90">
      <w:pPr>
        <w:spacing w:before="120" w:after="240" w:line="360" w:lineRule="auto"/>
        <w:jc w:val="both"/>
        <w:rPr>
          <w:rFonts w:ascii="Arial" w:hAnsi="Arial" w:cs="Arial"/>
          <w:sz w:val="22"/>
          <w:szCs w:val="22"/>
        </w:rPr>
      </w:pPr>
      <w:r>
        <w:rPr>
          <w:rFonts w:ascii="Arial" w:hAnsi="Arial" w:cs="Arial"/>
          <w:sz w:val="22"/>
          <w:szCs w:val="22"/>
        </w:rPr>
        <w:t xml:space="preserve">A sustained period of low wage growth </w:t>
      </w:r>
      <w:r w:rsidR="00D736CC">
        <w:rPr>
          <w:rFonts w:ascii="Arial" w:hAnsi="Arial" w:cs="Arial"/>
          <w:sz w:val="22"/>
          <w:szCs w:val="22"/>
        </w:rPr>
        <w:t>will</w:t>
      </w:r>
      <w:r>
        <w:rPr>
          <w:rFonts w:ascii="Arial" w:hAnsi="Arial" w:cs="Arial"/>
          <w:sz w:val="22"/>
          <w:szCs w:val="22"/>
        </w:rPr>
        <w:t xml:space="preserve"> have implications for the broader economy. </w:t>
      </w:r>
      <w:r w:rsidR="00B00A90">
        <w:rPr>
          <w:rFonts w:ascii="Arial" w:hAnsi="Arial" w:cs="Arial"/>
          <w:sz w:val="22"/>
          <w:szCs w:val="22"/>
        </w:rPr>
        <w:br/>
      </w:r>
      <w:r>
        <w:rPr>
          <w:rFonts w:ascii="Arial" w:hAnsi="Arial" w:cs="Arial"/>
          <w:sz w:val="22"/>
          <w:szCs w:val="22"/>
        </w:rPr>
        <w:t>Subdued wage growth constrains growth in household income, one of the key drivers of household consumption (which accounts for around 60% of total economic activity), with potential flow-on effects for businesses and government revenues.</w:t>
      </w:r>
      <w:r w:rsidR="00CE3A12" w:rsidRPr="00CE3A12">
        <w:rPr>
          <w:bCs/>
          <w:sz w:val="22"/>
          <w:szCs w:val="22"/>
        </w:rPr>
        <w:t xml:space="preserve"> </w:t>
      </w:r>
      <w:r w:rsidR="009B6FF5" w:rsidRPr="009B6FF5">
        <w:rPr>
          <w:rFonts w:ascii="Arial" w:hAnsi="Arial" w:cs="Arial"/>
          <w:sz w:val="22"/>
          <w:szCs w:val="22"/>
        </w:rPr>
        <w:t xml:space="preserve">The Queensland Government </w:t>
      </w:r>
      <w:r w:rsidR="00CE3A12" w:rsidRPr="009B6FF5">
        <w:rPr>
          <w:rFonts w:ascii="Arial" w:hAnsi="Arial" w:cs="Arial"/>
          <w:sz w:val="22"/>
          <w:szCs w:val="22"/>
        </w:rPr>
        <w:t xml:space="preserve">submission notes that the Annual Wage Review decision last year supported this view, </w:t>
      </w:r>
      <w:r w:rsidR="009B6FF5" w:rsidRPr="009B6FF5">
        <w:rPr>
          <w:rFonts w:ascii="Arial" w:hAnsi="Arial" w:cs="Arial"/>
          <w:sz w:val="22"/>
          <w:szCs w:val="22"/>
        </w:rPr>
        <w:t>observing</w:t>
      </w:r>
      <w:r w:rsidR="00CE3A12" w:rsidRPr="009B6FF5">
        <w:rPr>
          <w:rFonts w:ascii="Arial" w:hAnsi="Arial" w:cs="Arial"/>
          <w:sz w:val="22"/>
          <w:szCs w:val="22"/>
        </w:rPr>
        <w:t xml:space="preserve"> the negative economic and social consequences of current low wages growth. As </w:t>
      </w:r>
      <w:r w:rsidR="009B6FF5" w:rsidRPr="009B6FF5">
        <w:rPr>
          <w:rFonts w:ascii="Arial" w:hAnsi="Arial" w:cs="Arial"/>
          <w:sz w:val="22"/>
          <w:szCs w:val="22"/>
        </w:rPr>
        <w:t xml:space="preserve">further </w:t>
      </w:r>
      <w:r w:rsidR="00CE3A12" w:rsidRPr="009B6FF5">
        <w:rPr>
          <w:rFonts w:ascii="Arial" w:hAnsi="Arial" w:cs="Arial"/>
          <w:sz w:val="22"/>
          <w:szCs w:val="22"/>
        </w:rPr>
        <w:t>explored below, the Reserve Bank has also been increasingly vocal in its concerns about persistently low wages growth.</w:t>
      </w:r>
    </w:p>
    <w:p w14:paraId="0233E7B4" w14:textId="38D3C565" w:rsidR="005A2CE4" w:rsidRDefault="005A2CE4" w:rsidP="00B00A90">
      <w:pPr>
        <w:spacing w:before="120" w:after="240" w:line="360" w:lineRule="auto"/>
        <w:jc w:val="both"/>
        <w:rPr>
          <w:rFonts w:ascii="Arial" w:hAnsi="Arial" w:cs="Arial"/>
          <w:sz w:val="22"/>
          <w:szCs w:val="22"/>
        </w:rPr>
      </w:pPr>
      <w:r w:rsidRPr="006E4E2C">
        <w:rPr>
          <w:rFonts w:ascii="Arial" w:hAnsi="Arial" w:cs="Arial"/>
          <w:sz w:val="22"/>
          <w:szCs w:val="22"/>
        </w:rPr>
        <w:t xml:space="preserve">Additionally, the demand for government services </w:t>
      </w:r>
      <w:r>
        <w:rPr>
          <w:rFonts w:ascii="Arial" w:hAnsi="Arial" w:cs="Arial"/>
          <w:sz w:val="22"/>
          <w:szCs w:val="22"/>
        </w:rPr>
        <w:t>(</w:t>
      </w:r>
      <w:r w:rsidRPr="006E4E2C">
        <w:rPr>
          <w:rFonts w:ascii="Arial" w:hAnsi="Arial" w:cs="Arial"/>
          <w:sz w:val="22"/>
          <w:szCs w:val="22"/>
        </w:rPr>
        <w:t>such as social housing</w:t>
      </w:r>
      <w:r>
        <w:rPr>
          <w:rFonts w:ascii="Arial" w:hAnsi="Arial" w:cs="Arial"/>
          <w:sz w:val="22"/>
          <w:szCs w:val="22"/>
        </w:rPr>
        <w:t>)</w:t>
      </w:r>
      <w:r w:rsidRPr="006E4E2C">
        <w:rPr>
          <w:rFonts w:ascii="Arial" w:hAnsi="Arial" w:cs="Arial"/>
          <w:sz w:val="22"/>
          <w:szCs w:val="22"/>
        </w:rPr>
        <w:t xml:space="preserve"> may rise if households</w:t>
      </w:r>
      <w:r w:rsidR="003254A7">
        <w:rPr>
          <w:rFonts w:ascii="Arial" w:hAnsi="Arial" w:cs="Arial"/>
          <w:sz w:val="22"/>
          <w:szCs w:val="22"/>
        </w:rPr>
        <w:t>’</w:t>
      </w:r>
      <w:r w:rsidRPr="006E4E2C">
        <w:rPr>
          <w:rFonts w:ascii="Arial" w:hAnsi="Arial" w:cs="Arial"/>
          <w:sz w:val="22"/>
          <w:szCs w:val="22"/>
        </w:rPr>
        <w:t xml:space="preserve"> purchasing power is reduced by low wage growth conditions. </w:t>
      </w:r>
      <w:r>
        <w:rPr>
          <w:rFonts w:ascii="Arial" w:hAnsi="Arial" w:cs="Arial"/>
          <w:sz w:val="22"/>
          <w:szCs w:val="22"/>
        </w:rPr>
        <w:t xml:space="preserve">Lower-income households may seek to access a broader range of government services if wage growth falls behind the rate of increase in the cost of </w:t>
      </w:r>
      <w:r w:rsidRPr="006E4E2C">
        <w:rPr>
          <w:rFonts w:ascii="Arial" w:hAnsi="Arial" w:cs="Arial"/>
          <w:sz w:val="22"/>
          <w:szCs w:val="22"/>
        </w:rPr>
        <w:t>non-discretionary goods and services</w:t>
      </w:r>
      <w:r>
        <w:rPr>
          <w:rFonts w:ascii="Arial" w:hAnsi="Arial" w:cs="Arial"/>
          <w:sz w:val="22"/>
          <w:szCs w:val="22"/>
        </w:rPr>
        <w:t>. T</w:t>
      </w:r>
      <w:r w:rsidRPr="006E4E2C">
        <w:rPr>
          <w:rFonts w:ascii="Arial" w:hAnsi="Arial" w:cs="Arial"/>
          <w:sz w:val="22"/>
          <w:szCs w:val="22"/>
        </w:rPr>
        <w:t>his, combined with the flow-on effects for government revenues identified above, could adversely affect the government’s fiscal position.</w:t>
      </w:r>
    </w:p>
    <w:p w14:paraId="1C4C9CF7" w14:textId="243A4DA0" w:rsidR="005A2CE4" w:rsidRDefault="005A2CE4" w:rsidP="00B00A90">
      <w:pPr>
        <w:spacing w:before="120" w:after="240" w:line="360" w:lineRule="auto"/>
        <w:jc w:val="both"/>
        <w:rPr>
          <w:rFonts w:ascii="Arial" w:hAnsi="Arial" w:cs="Arial"/>
          <w:sz w:val="22"/>
          <w:szCs w:val="22"/>
        </w:rPr>
      </w:pPr>
      <w:r>
        <w:rPr>
          <w:rFonts w:ascii="Arial" w:hAnsi="Arial" w:cs="Arial"/>
          <w:sz w:val="22"/>
          <w:szCs w:val="22"/>
        </w:rPr>
        <w:t>The</w:t>
      </w:r>
      <w:r w:rsidR="0068368C">
        <w:rPr>
          <w:rFonts w:ascii="Arial" w:hAnsi="Arial" w:cs="Arial"/>
          <w:sz w:val="22"/>
          <w:szCs w:val="22"/>
        </w:rPr>
        <w:t xml:space="preserve"> </w:t>
      </w:r>
      <w:r w:rsidR="00ED2956">
        <w:rPr>
          <w:rFonts w:ascii="Arial" w:hAnsi="Arial" w:cs="Arial"/>
          <w:sz w:val="22"/>
          <w:szCs w:val="22"/>
        </w:rPr>
        <w:t>RBA</w:t>
      </w:r>
      <w:r>
        <w:rPr>
          <w:rFonts w:ascii="Arial" w:hAnsi="Arial" w:cs="Arial"/>
          <w:sz w:val="22"/>
          <w:szCs w:val="22"/>
        </w:rPr>
        <w:t xml:space="preserve"> has suggested that the current low level of wages growth reflects a number of factors, including spare capacity in the labour market and low inflation expectations. Other contributing factors to recent low wage growth include:</w:t>
      </w:r>
    </w:p>
    <w:p w14:paraId="422E6887" w14:textId="77777777" w:rsidR="005A2CE4" w:rsidRDefault="005A2CE4" w:rsidP="00B00A90">
      <w:pPr>
        <w:pStyle w:val="ListParagraph"/>
        <w:numPr>
          <w:ilvl w:val="0"/>
          <w:numId w:val="16"/>
        </w:numPr>
        <w:spacing w:before="120" w:after="240" w:line="360" w:lineRule="auto"/>
        <w:jc w:val="both"/>
        <w:rPr>
          <w:rFonts w:ascii="Arial" w:hAnsi="Arial" w:cs="Arial"/>
        </w:rPr>
      </w:pPr>
      <w:r>
        <w:rPr>
          <w:rFonts w:ascii="Arial" w:hAnsi="Arial" w:cs="Arial"/>
        </w:rPr>
        <w:t>The process of adjustment following the end of the mining boom;</w:t>
      </w:r>
    </w:p>
    <w:p w14:paraId="096CE7C0" w14:textId="77777777" w:rsidR="005A2CE4" w:rsidRDefault="005A2CE4" w:rsidP="00B00A90">
      <w:pPr>
        <w:pStyle w:val="ListParagraph"/>
        <w:numPr>
          <w:ilvl w:val="0"/>
          <w:numId w:val="16"/>
        </w:numPr>
        <w:spacing w:before="120" w:after="240" w:line="360" w:lineRule="auto"/>
        <w:jc w:val="both"/>
        <w:rPr>
          <w:rFonts w:ascii="Arial" w:hAnsi="Arial" w:cs="Arial"/>
        </w:rPr>
      </w:pPr>
      <w:r>
        <w:rPr>
          <w:rFonts w:ascii="Arial" w:hAnsi="Arial" w:cs="Arial"/>
        </w:rPr>
        <w:t>A decline in labour’s relative bargaining power;</w:t>
      </w:r>
    </w:p>
    <w:p w14:paraId="32036906" w14:textId="77777777" w:rsidR="005A2CE4" w:rsidRPr="00040CB2" w:rsidRDefault="005A2CE4" w:rsidP="00B00A90">
      <w:pPr>
        <w:pStyle w:val="ListParagraph"/>
        <w:numPr>
          <w:ilvl w:val="0"/>
          <w:numId w:val="16"/>
        </w:numPr>
        <w:spacing w:before="120" w:after="240" w:line="360" w:lineRule="auto"/>
        <w:jc w:val="both"/>
        <w:rPr>
          <w:rFonts w:ascii="Arial" w:hAnsi="Arial" w:cs="Arial"/>
        </w:rPr>
      </w:pPr>
      <w:r>
        <w:rPr>
          <w:rFonts w:ascii="Arial" w:hAnsi="Arial" w:cs="Arial"/>
        </w:rPr>
        <w:t>The effects of technological change and globalisation;</w:t>
      </w:r>
    </w:p>
    <w:p w14:paraId="47E0CE77" w14:textId="5D659D2E" w:rsidR="005A2CE4" w:rsidRDefault="005A2CE4" w:rsidP="00B00A90">
      <w:pPr>
        <w:pStyle w:val="ListParagraph"/>
        <w:numPr>
          <w:ilvl w:val="0"/>
          <w:numId w:val="16"/>
        </w:numPr>
        <w:spacing w:before="120" w:after="240" w:line="360" w:lineRule="auto"/>
        <w:jc w:val="both"/>
      </w:pPr>
      <w:r>
        <w:rPr>
          <w:rFonts w:ascii="Arial" w:hAnsi="Arial" w:cs="Arial"/>
        </w:rPr>
        <w:t>A low level of voluntary job turnover (</w:t>
      </w:r>
      <w:r w:rsidR="009B6FF5">
        <w:rPr>
          <w:rFonts w:ascii="Arial" w:hAnsi="Arial" w:cs="Arial"/>
        </w:rPr>
        <w:t>where workers choose</w:t>
      </w:r>
      <w:r>
        <w:rPr>
          <w:rFonts w:ascii="Arial" w:hAnsi="Arial" w:cs="Arial"/>
        </w:rPr>
        <w:t xml:space="preserve"> to leave their job for a better job);</w:t>
      </w:r>
    </w:p>
    <w:p w14:paraId="165D896B" w14:textId="700AC2AC" w:rsidR="005A2CE4" w:rsidRDefault="005A2CE4" w:rsidP="00B00A90">
      <w:pPr>
        <w:pStyle w:val="ListParagraph"/>
        <w:numPr>
          <w:ilvl w:val="0"/>
          <w:numId w:val="16"/>
        </w:numPr>
        <w:spacing w:before="120" w:after="240" w:line="360" w:lineRule="auto"/>
        <w:jc w:val="both"/>
      </w:pPr>
      <w:r>
        <w:rPr>
          <w:rFonts w:ascii="Arial" w:hAnsi="Arial" w:cs="Arial"/>
        </w:rPr>
        <w:t>The use of bonuses</w:t>
      </w:r>
      <w:r w:rsidR="009B6FF5">
        <w:rPr>
          <w:rFonts w:ascii="Arial" w:hAnsi="Arial" w:cs="Arial"/>
        </w:rPr>
        <w:t>, rather than wage rises,</w:t>
      </w:r>
      <w:r>
        <w:rPr>
          <w:rFonts w:ascii="Arial" w:hAnsi="Arial" w:cs="Arial"/>
        </w:rPr>
        <w:t xml:space="preserve"> by businesses</w:t>
      </w:r>
      <w:r w:rsidR="009B6FF5">
        <w:rPr>
          <w:rFonts w:ascii="Arial" w:hAnsi="Arial" w:cs="Arial"/>
        </w:rPr>
        <w:t xml:space="preserve"> to incentivise employees</w:t>
      </w:r>
      <w:r>
        <w:rPr>
          <w:rFonts w:ascii="Arial" w:hAnsi="Arial" w:cs="Arial"/>
        </w:rPr>
        <w:t xml:space="preserve"> (which doesn’t permanently raise labour costs); and</w:t>
      </w:r>
    </w:p>
    <w:p w14:paraId="1D6D8DB6" w14:textId="77777777" w:rsidR="005A2CE4" w:rsidRDefault="005A2CE4" w:rsidP="00B00A90">
      <w:pPr>
        <w:pStyle w:val="ListParagraph"/>
        <w:numPr>
          <w:ilvl w:val="0"/>
          <w:numId w:val="16"/>
        </w:numPr>
        <w:spacing w:before="120" w:after="240" w:line="360" w:lineRule="auto"/>
        <w:jc w:val="both"/>
      </w:pPr>
      <w:r>
        <w:rPr>
          <w:rFonts w:ascii="Arial" w:hAnsi="Arial" w:cs="Arial"/>
        </w:rPr>
        <w:t>Some firms attempting to retain staff by using non-wage incentives, such as flexible work arrangements, shares, additional annual leave, etc.</w:t>
      </w:r>
    </w:p>
    <w:p w14:paraId="3188E37A" w14:textId="77777777" w:rsidR="00C32564" w:rsidRPr="00BA3E2A" w:rsidRDefault="00607105" w:rsidP="00C32564">
      <w:pPr>
        <w:pStyle w:val="Heading3"/>
        <w:spacing w:before="120" w:after="240"/>
        <w:rPr>
          <w:rFonts w:eastAsiaTheme="majorEastAsia"/>
          <w:b w:val="0"/>
          <w:bCs w:val="0"/>
          <w:color w:val="7B230B" w:themeColor="accent1" w:themeShade="BF"/>
          <w:sz w:val="28"/>
          <w:szCs w:val="28"/>
          <w:lang w:eastAsia="en-US"/>
        </w:rPr>
      </w:pPr>
      <w:r w:rsidRPr="00607105">
        <w:t xml:space="preserve"> </w:t>
      </w:r>
      <w:bookmarkStart w:id="21" w:name="_Toc2688650"/>
      <w:r w:rsidR="00C32564" w:rsidRPr="00BA3E2A">
        <w:rPr>
          <w:rFonts w:eastAsiaTheme="majorEastAsia"/>
          <w:b w:val="0"/>
          <w:bCs w:val="0"/>
          <w:color w:val="7B230B" w:themeColor="accent1" w:themeShade="BF"/>
          <w:sz w:val="28"/>
          <w:szCs w:val="28"/>
          <w:lang w:eastAsia="en-US"/>
        </w:rPr>
        <w:t>The employment impact of increases to minimum wages</w:t>
      </w:r>
      <w:bookmarkEnd w:id="21"/>
      <w:r w:rsidR="00C32564" w:rsidRPr="00BA3E2A">
        <w:rPr>
          <w:rFonts w:eastAsiaTheme="majorEastAsia"/>
          <w:b w:val="0"/>
          <w:bCs w:val="0"/>
          <w:color w:val="7B230B" w:themeColor="accent1" w:themeShade="BF"/>
          <w:sz w:val="28"/>
          <w:szCs w:val="28"/>
          <w:lang w:eastAsia="en-US"/>
        </w:rPr>
        <w:t xml:space="preserve"> </w:t>
      </w:r>
    </w:p>
    <w:p w14:paraId="6B8B8740" w14:textId="77777777" w:rsidR="00C32564" w:rsidRDefault="00C32564" w:rsidP="00C32564">
      <w:pPr>
        <w:pStyle w:val="NWCbodytextArial11ptJustified"/>
      </w:pPr>
      <w:r w:rsidRPr="00131079">
        <w:t>A</w:t>
      </w:r>
      <w:r>
        <w:t xml:space="preserve"> perennial point of contention </w:t>
      </w:r>
      <w:r w:rsidRPr="00131079">
        <w:t xml:space="preserve">is with the impact of </w:t>
      </w:r>
      <w:r>
        <w:t>minimum</w:t>
      </w:r>
      <w:r w:rsidRPr="00131079">
        <w:t xml:space="preserve"> wage movements on the empl</w:t>
      </w:r>
      <w:r>
        <w:t xml:space="preserve">oyment of low-skilled workers. </w:t>
      </w:r>
      <w:r w:rsidRPr="00131079">
        <w:t>Arguments around the empirical evidence regarding the impact of wage adjustments on employment have been a constant feature of national a</w:t>
      </w:r>
      <w:r>
        <w:t>nd state wage cases but while it has been argued</w:t>
      </w:r>
      <w:r w:rsidRPr="00131079">
        <w:t xml:space="preserve"> that moderate increases in real wages, in the absence of offsetting productivity improvements, </w:t>
      </w:r>
      <w:r>
        <w:t xml:space="preserve">may lead to a </w:t>
      </w:r>
      <w:r w:rsidRPr="00131079">
        <w:t>negative impact on employment</w:t>
      </w:r>
      <w:r>
        <w:t xml:space="preserve">, this has not been borne out by the evidence. Factors </w:t>
      </w:r>
      <w:r w:rsidRPr="00131079">
        <w:t>such as employer efforts to increase workers’ productivity to justify the wages paid, incentive effects on employees, and through the broader effects of a fairer system on social and economic cohesion in society as a whole</w:t>
      </w:r>
      <w:r>
        <w:t>, are effective in mitigating any potential dis-employment effects</w:t>
      </w:r>
      <w:r w:rsidRPr="00131079">
        <w:t>.</w:t>
      </w:r>
      <w:r>
        <w:t xml:space="preserve">  </w:t>
      </w:r>
    </w:p>
    <w:p w14:paraId="2A43CA1A" w14:textId="6126042B" w:rsidR="007266BC" w:rsidRDefault="00C32564" w:rsidP="007266BC">
      <w:pPr>
        <w:pStyle w:val="NWCbodytextArial11ptJustified"/>
      </w:pPr>
      <w:r w:rsidRPr="00131079">
        <w:t xml:space="preserve">The </w:t>
      </w:r>
      <w:r>
        <w:t xml:space="preserve">employment </w:t>
      </w:r>
      <w:r w:rsidRPr="00131079">
        <w:t xml:space="preserve">impact of safety net adjustments to </w:t>
      </w:r>
      <w:r>
        <w:t>award</w:t>
      </w:r>
      <w:r w:rsidRPr="00131079">
        <w:t xml:space="preserve"> wage</w:t>
      </w:r>
      <w:r>
        <w:t xml:space="preserve">s has been similarly well canvassed by the FWC and its predecessors. </w:t>
      </w:r>
      <w:r w:rsidRPr="00131079">
        <w:t>In previous wage case decisions, the Panel has noted that a general assessment of employment data, including in more heavily award reliant sectors, has not disclosed any basis to suggest that past safety net adjustments have had any significant adverse employment effects</w:t>
      </w:r>
      <w:r>
        <w:t xml:space="preserve">. </w:t>
      </w:r>
      <w:r w:rsidRPr="003C60B8">
        <w:t>In its 2016 Decision, the Panel reaffirmed its view that “modest and regular increases in minimum wages have a small or even zero impact on employment”.</w:t>
      </w:r>
      <w:r w:rsidRPr="003C60B8">
        <w:rPr>
          <w:rStyle w:val="FootnoteReference"/>
        </w:rPr>
        <w:footnoteReference w:id="18"/>
      </w:r>
      <w:r w:rsidRPr="00131079">
        <w:t xml:space="preserve"> </w:t>
      </w:r>
      <w:r>
        <w:t>This sentiment was reiterated in the Panel’s 2017 decision along with the statement that “</w:t>
      </w:r>
      <w:r w:rsidRPr="00961B80">
        <w:t>the Panel’s past assessment of what constitutes a ‘modest’ increase may have been overly cautious, in terms of its assessed dis</w:t>
      </w:r>
      <w:r>
        <w:t>-</w:t>
      </w:r>
      <w:r w:rsidRPr="00961B80">
        <w:t>employment effects</w:t>
      </w:r>
      <w:r>
        <w:t>”</w:t>
      </w:r>
      <w:r w:rsidRPr="00961B80">
        <w:t>.</w:t>
      </w:r>
      <w:r>
        <w:rPr>
          <w:rStyle w:val="FootnoteReference"/>
        </w:rPr>
        <w:footnoteReference w:id="19"/>
      </w:r>
      <w:r>
        <w:t xml:space="preserve"> This view was confirmed by a landmark study published by the RBA in 2018 which found that t</w:t>
      </w:r>
      <w:r w:rsidRPr="00EE06D0">
        <w:t>here is no evidence that modest, incremental increases in award wages ha</w:t>
      </w:r>
      <w:r>
        <w:t>ve</w:t>
      </w:r>
      <w:r w:rsidRPr="00EE06D0">
        <w:t xml:space="preserve"> an adverse effect on hours worked or the job destruction rate</w:t>
      </w:r>
      <w:r>
        <w:rPr>
          <w:rStyle w:val="FootnoteReference"/>
        </w:rPr>
        <w:footnoteReference w:id="20"/>
      </w:r>
      <w:r w:rsidRPr="00EE06D0">
        <w:t>.</w:t>
      </w:r>
      <w:r>
        <w:t xml:space="preserve"> The Queensland Government submits there is no reason to depart from this consistent set of conclusions. </w:t>
      </w:r>
    </w:p>
    <w:p w14:paraId="22DB02DA" w14:textId="0CFE9B95" w:rsidR="00C32564" w:rsidRDefault="00C32564" w:rsidP="007266BC">
      <w:pPr>
        <w:pStyle w:val="NWCbodytextArial11ptJustified"/>
      </w:pPr>
      <w:r w:rsidRPr="007266BC">
        <w:t xml:space="preserve">The Queensland Government further submits that these findings regarding the employment effects of wage increases should be considered in tandem with the social and individual benefits of an increase in the minimum wage and award wages. </w:t>
      </w:r>
    </w:p>
    <w:p w14:paraId="4A662B94" w14:textId="49537C79" w:rsidR="00607105" w:rsidRPr="001E76B4" w:rsidRDefault="00607105" w:rsidP="00C32564">
      <w:pPr>
        <w:pStyle w:val="Heading1"/>
        <w:keepLines w:val="0"/>
        <w:rPr>
          <w:rFonts w:ascii="Arial" w:hAnsi="Arial" w:cs="Arial"/>
        </w:rPr>
      </w:pPr>
      <w:bookmarkStart w:id="22" w:name="_Toc2688651"/>
      <w:r w:rsidRPr="001E76B4">
        <w:rPr>
          <w:rFonts w:ascii="Arial" w:hAnsi="Arial" w:cs="Arial"/>
        </w:rPr>
        <w:t xml:space="preserve">Social </w:t>
      </w:r>
      <w:r>
        <w:rPr>
          <w:rFonts w:ascii="Arial" w:hAnsi="Arial" w:cs="Arial"/>
        </w:rPr>
        <w:t>f</w:t>
      </w:r>
      <w:r w:rsidRPr="001E76B4">
        <w:rPr>
          <w:rFonts w:ascii="Arial" w:hAnsi="Arial" w:cs="Arial"/>
        </w:rPr>
        <w:t xml:space="preserve">actors – The </w:t>
      </w:r>
      <w:r>
        <w:rPr>
          <w:rFonts w:ascii="Arial" w:hAnsi="Arial" w:cs="Arial"/>
        </w:rPr>
        <w:t>i</w:t>
      </w:r>
      <w:r w:rsidRPr="001E76B4">
        <w:rPr>
          <w:rFonts w:ascii="Arial" w:hAnsi="Arial" w:cs="Arial"/>
        </w:rPr>
        <w:t xml:space="preserve">mportance of </w:t>
      </w:r>
      <w:r>
        <w:rPr>
          <w:rFonts w:ascii="Arial" w:hAnsi="Arial" w:cs="Arial"/>
        </w:rPr>
        <w:t>f</w:t>
      </w:r>
      <w:r w:rsidRPr="001E76B4">
        <w:rPr>
          <w:rFonts w:ascii="Arial" w:hAnsi="Arial" w:cs="Arial"/>
        </w:rPr>
        <w:t xml:space="preserve">air </w:t>
      </w:r>
      <w:r>
        <w:rPr>
          <w:rFonts w:ascii="Arial" w:hAnsi="Arial" w:cs="Arial"/>
        </w:rPr>
        <w:t>w</w:t>
      </w:r>
      <w:r w:rsidRPr="001E76B4">
        <w:rPr>
          <w:rFonts w:ascii="Arial" w:hAnsi="Arial" w:cs="Arial"/>
        </w:rPr>
        <w:t>ages</w:t>
      </w:r>
      <w:bookmarkEnd w:id="22"/>
    </w:p>
    <w:p w14:paraId="1B1710B7" w14:textId="77777777" w:rsidR="005A2CE4" w:rsidRPr="00131079" w:rsidRDefault="005A2CE4" w:rsidP="00CF02D7">
      <w:pPr>
        <w:pStyle w:val="NWCbodytextArial11ptJustified"/>
      </w:pPr>
      <w:r w:rsidRPr="00131079">
        <w:t xml:space="preserve">As </w:t>
      </w:r>
      <w:r>
        <w:t xml:space="preserve">mentioned previously as </w:t>
      </w:r>
      <w:r w:rsidRPr="00131079">
        <w:t>at May 201</w:t>
      </w:r>
      <w:r>
        <w:t>8</w:t>
      </w:r>
      <w:r w:rsidRPr="00131079">
        <w:t xml:space="preserve">, approximately </w:t>
      </w:r>
      <w:r w:rsidR="005534DB" w:rsidRPr="00EB1B2E">
        <w:t>4</w:t>
      </w:r>
      <w:r w:rsidR="005534DB">
        <w:t>26</w:t>
      </w:r>
      <w:r w:rsidR="005534DB" w:rsidRPr="00EB1B2E">
        <w:t xml:space="preserve">,700 </w:t>
      </w:r>
      <w:r w:rsidR="00971543">
        <w:t>(</w:t>
      </w:r>
      <w:r w:rsidR="005534DB" w:rsidRPr="00EB1B2E">
        <w:t>2</w:t>
      </w:r>
      <w:r w:rsidR="005534DB">
        <w:t>2</w:t>
      </w:r>
      <w:r w:rsidR="005534DB" w:rsidRPr="00EB1B2E">
        <w:t>.</w:t>
      </w:r>
      <w:r w:rsidR="005534DB">
        <w:t>40</w:t>
      </w:r>
      <w:r w:rsidR="005534DB" w:rsidRPr="00971543">
        <w:t>%</w:t>
      </w:r>
      <w:r w:rsidRPr="00971543">
        <w:t>)</w:t>
      </w:r>
      <w:r w:rsidRPr="00131079">
        <w:t xml:space="preserve"> of Queensland non-managerial employees relied on the award system to determine their rate of pay. </w:t>
      </w:r>
    </w:p>
    <w:p w14:paraId="5EE8FBCB" w14:textId="47C8309A" w:rsidR="005A2CE4" w:rsidRDefault="005A2CE4" w:rsidP="00CF02D7">
      <w:pPr>
        <w:pStyle w:val="NWCbodytextArial11ptJustified"/>
      </w:pPr>
      <w:r w:rsidRPr="00131079">
        <w:t>Minimum and award wage increases serve an important social function by directly targeting and benefiting those employees who are not able to negotiate wage increases with their employer through enterprise bargaining.</w:t>
      </w:r>
      <w:r w:rsidR="00B00A90">
        <w:t xml:space="preserve"> </w:t>
      </w:r>
      <w:r w:rsidRPr="00131079">
        <w:t>This helps to ensure that those workers with little or no bargaining power are not left behind</w:t>
      </w:r>
      <w:r>
        <w:t xml:space="preserve"> and that these workers can share in the benefits of economic prosperity</w:t>
      </w:r>
      <w:r w:rsidR="00545C6F">
        <w:t>, productivity growth,</w:t>
      </w:r>
      <w:r>
        <w:t xml:space="preserve"> and rising living standards</w:t>
      </w:r>
      <w:r w:rsidR="00545C6F">
        <w:t>, through improvement to their real wages</w:t>
      </w:r>
      <w:r w:rsidRPr="00131079">
        <w:t xml:space="preserve">. </w:t>
      </w:r>
    </w:p>
    <w:p w14:paraId="41D0530A" w14:textId="1B5C1269" w:rsidR="001678E2" w:rsidRPr="00D91E6C" w:rsidRDefault="001678E2" w:rsidP="00CF02D7">
      <w:pPr>
        <w:pStyle w:val="NWCbodytextArial11ptJustified"/>
      </w:pPr>
      <w:r w:rsidRPr="00D91E6C">
        <w:t xml:space="preserve">Figure </w:t>
      </w:r>
      <w:r>
        <w:t>1</w:t>
      </w:r>
      <w:r w:rsidRPr="00D91E6C">
        <w:t xml:space="preserve"> shows real wage growth and productivity growth in the years since the 2001 downturn.  As can be seen from the chart, real wage growth mirrored labour productivity growth until 2011</w:t>
      </w:r>
      <w:r w:rsidR="003254A7">
        <w:t>–</w:t>
      </w:r>
      <w:r w:rsidRPr="00D91E6C">
        <w:t>12 but has subsequently diverged, resulting in low wage growth and rising inequality.</w:t>
      </w:r>
    </w:p>
    <w:p w14:paraId="700E821E" w14:textId="77777777" w:rsidR="001678E2" w:rsidRPr="00131079" w:rsidRDefault="001678E2" w:rsidP="00CF02D7">
      <w:pPr>
        <w:pStyle w:val="NWCbodytextArial11ptJustified"/>
      </w:pPr>
      <w:r>
        <w:rPr>
          <w:noProof/>
        </w:rPr>
        <w:drawing>
          <wp:inline distT="0" distB="0" distL="0" distR="0" wp14:anchorId="3764DA79" wp14:editId="06DA2A87">
            <wp:extent cx="5731510" cy="3979545"/>
            <wp:effectExtent l="0" t="0" r="2540"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A2B0C8" w14:textId="77777777" w:rsidR="001678E2" w:rsidRPr="00E41C46" w:rsidRDefault="001678E2" w:rsidP="00CF02D7">
      <w:pPr>
        <w:pStyle w:val="NWCbodytextArial11ptJustified"/>
      </w:pPr>
      <w:r w:rsidRPr="004B22E7">
        <w:t>Source:</w:t>
      </w:r>
      <w:r w:rsidRPr="004B22E7">
        <w:tab/>
        <w:t>ABS Cat No 6345.0 - Wage Price Index, Australia and ABS Cat No 6401.0 - Consumer Price Index, Australia</w:t>
      </w:r>
      <w:r>
        <w:t xml:space="preserve"> </w:t>
      </w:r>
      <w:r w:rsidRPr="004B22E7">
        <w:t>ABS Cat No 5206.0 - Australian National Accounts: National Income, Expenditure and Product</w:t>
      </w:r>
    </w:p>
    <w:p w14:paraId="7839D36B" w14:textId="70CAA243" w:rsidR="00D91E6C" w:rsidRDefault="009B6FF5" w:rsidP="00CF02D7">
      <w:pPr>
        <w:pStyle w:val="NWCbodytextArial11ptJustified"/>
      </w:pPr>
      <w:r>
        <w:t xml:space="preserve">The Queensland Government </w:t>
      </w:r>
      <w:r w:rsidR="005A2CE4">
        <w:t xml:space="preserve">recognises that stagnant wage growth has </w:t>
      </w:r>
      <w:r>
        <w:t>been widely identified</w:t>
      </w:r>
      <w:r w:rsidR="005A2CE4">
        <w:t xml:space="preserve"> as a significant problem in recent years and that rising </w:t>
      </w:r>
      <w:r>
        <w:t xml:space="preserve">income </w:t>
      </w:r>
      <w:r w:rsidR="005A2CE4">
        <w:t xml:space="preserve">inequality has become an issue of significant social concern. The Governor of the </w:t>
      </w:r>
      <w:r w:rsidR="00ED2956">
        <w:t>RBA</w:t>
      </w:r>
      <w:r w:rsidR="005A2CE4">
        <w:t xml:space="preserve"> has argued</w:t>
      </w:r>
      <w:r w:rsidR="005A2CE4" w:rsidRPr="0080643B">
        <w:t xml:space="preserve"> this </w:t>
      </w:r>
      <w:r w:rsidR="005A2CE4">
        <w:t>i</w:t>
      </w:r>
      <w:r w:rsidR="005A2CE4" w:rsidRPr="0080643B">
        <w:t>s a major problem</w:t>
      </w:r>
      <w:r w:rsidR="005A2CE4">
        <w:t>, suggesting that f</w:t>
      </w:r>
      <w:r w:rsidR="005A2CE4" w:rsidRPr="0080643B">
        <w:t>lat real wages are diminishing our sense of shared prosperity</w:t>
      </w:r>
      <w:r w:rsidR="005A2CE4">
        <w:t xml:space="preserve"> and t</w:t>
      </w:r>
      <w:r w:rsidR="005A2CE4" w:rsidRPr="0080643B">
        <w:t>he lack of real wage growth is one of the reasons why some in our community question whether they are benefiting from our economic success.</w:t>
      </w:r>
      <w:r w:rsidR="005A2CE4">
        <w:rPr>
          <w:rStyle w:val="FootnoteReference"/>
        </w:rPr>
        <w:footnoteReference w:id="21"/>
      </w:r>
      <w:r w:rsidR="00B00A90">
        <w:t xml:space="preserve"> </w:t>
      </w:r>
      <w:r w:rsidR="00411D31">
        <w:t xml:space="preserve">Governor Lowe used Figure </w:t>
      </w:r>
      <w:r w:rsidR="001678E2">
        <w:t>2</w:t>
      </w:r>
      <w:r w:rsidR="00411D31">
        <w:t xml:space="preserve"> below to show that from 1995 to 2012, on average, real wages increased by almost 2% per year. This occurred while inflation averaged around the mid-p</w:t>
      </w:r>
      <w:r w:rsidR="00B00A90">
        <w:t xml:space="preserve">oint of the 2-3% target range. </w:t>
      </w:r>
      <w:r w:rsidR="00411D31">
        <w:t>However, since 2012, there has been little change in a</w:t>
      </w:r>
      <w:r w:rsidR="00B00A90">
        <w:t>verage real hourly earnings.</w:t>
      </w:r>
      <w:r w:rsidR="00411D31">
        <w:t xml:space="preserve"> Wage increases have been broadly matched by inflation.</w:t>
      </w:r>
      <w:r w:rsidR="00AA35C0" w:rsidRPr="00AA35C0">
        <w:t xml:space="preserve"> On 16 February 2018, </w:t>
      </w:r>
      <w:r>
        <w:t xml:space="preserve">appearing before </w:t>
      </w:r>
      <w:r w:rsidR="00AA35C0" w:rsidRPr="00AA35C0">
        <w:t>a House of Representatives Committee Hearing on Economics, Governor</w:t>
      </w:r>
      <w:r w:rsidR="00AA35C0">
        <w:t xml:space="preserve"> Lowe</w:t>
      </w:r>
      <w:r w:rsidR="00AA35C0" w:rsidRPr="00AA35C0">
        <w:t xml:space="preserve"> commented that 3.5% wages growth would be considered a normal level of wage growth with inflation within the RBA target range of 2–3%.</w:t>
      </w:r>
    </w:p>
    <w:p w14:paraId="5D70B504" w14:textId="75E550D6" w:rsidR="00812222" w:rsidRDefault="00812222" w:rsidP="00CF02D7">
      <w:pPr>
        <w:pStyle w:val="NWCbodytextArial11ptJustified"/>
      </w:pPr>
      <w:r>
        <w:t xml:space="preserve">Figure </w:t>
      </w:r>
      <w:r w:rsidR="001678E2">
        <w:t>2</w:t>
      </w:r>
      <w:r>
        <w:t xml:space="preserve">. </w:t>
      </w:r>
    </w:p>
    <w:p w14:paraId="47DD521D" w14:textId="77777777" w:rsidR="00D91E6C" w:rsidRDefault="00B00A90" w:rsidP="00CF02D7">
      <w:pPr>
        <w:pStyle w:val="NWCbodytextArial11ptJustified"/>
      </w:pPr>
      <w:r w:rsidRPr="004B22E7">
        <w:rPr>
          <w:noProof/>
        </w:rPr>
        <w:drawing>
          <wp:anchor distT="0" distB="0" distL="114300" distR="114300" simplePos="0" relativeHeight="251669504" behindDoc="1" locked="0" layoutInCell="1" allowOverlap="1" wp14:anchorId="05F96B09" wp14:editId="4C8BFEED">
            <wp:simplePos x="0" y="0"/>
            <wp:positionH relativeFrom="margin">
              <wp:align>left</wp:align>
            </wp:positionH>
            <wp:positionV relativeFrom="paragraph">
              <wp:posOffset>14065</wp:posOffset>
            </wp:positionV>
            <wp:extent cx="3702050" cy="3084195"/>
            <wp:effectExtent l="0" t="0" r="0" b="1905"/>
            <wp:wrapTight wrapText="bothSides">
              <wp:wrapPolygon edited="0">
                <wp:start x="0" y="0"/>
                <wp:lineTo x="0" y="21480"/>
                <wp:lineTo x="21452" y="21480"/>
                <wp:lineTo x="214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2050" cy="308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B22E7">
        <w:rPr>
          <w:noProof/>
        </w:rPr>
        <mc:AlternateContent>
          <mc:Choice Requires="wpc">
            <w:drawing>
              <wp:anchor distT="0" distB="0" distL="114300" distR="114300" simplePos="0" relativeHeight="251668480" behindDoc="0" locked="0" layoutInCell="1" allowOverlap="1" wp14:anchorId="31BFAEF4" wp14:editId="21A78CDA">
                <wp:simplePos x="0" y="0"/>
                <wp:positionH relativeFrom="column">
                  <wp:posOffset>-914400</wp:posOffset>
                </wp:positionH>
                <wp:positionV relativeFrom="paragraph">
                  <wp:posOffset>-7853045</wp:posOffset>
                </wp:positionV>
                <wp:extent cx="3956050" cy="3295650"/>
                <wp:effectExtent l="0" t="0" r="0" b="0"/>
                <wp:wrapNone/>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DEBA52" id="Canvas 4" o:spid="_x0000_s1026" editas="canvas" style="position:absolute;margin-left:-1in;margin-top:-618.35pt;width:311.5pt;height:259.5pt;z-index:251668480" coordsize="39560,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60;height:32956;visibility:visible;mso-wrap-style:square">
                  <v:fill o:detectmouseclick="t"/>
                  <v:path o:connecttype="none"/>
                </v:shape>
              </v:group>
            </w:pict>
          </mc:Fallback>
        </mc:AlternateContent>
      </w:r>
      <w:r w:rsidR="00812222">
        <w:t xml:space="preserve">  </w:t>
      </w:r>
    </w:p>
    <w:p w14:paraId="10A3FF73" w14:textId="77777777" w:rsidR="00B00A90" w:rsidRDefault="00B00A90" w:rsidP="00CF02D7">
      <w:pPr>
        <w:pStyle w:val="NWCbodytextArial11ptJustified"/>
      </w:pPr>
    </w:p>
    <w:p w14:paraId="7E8B9B3E" w14:textId="77777777" w:rsidR="00B00A90" w:rsidRDefault="00B00A90" w:rsidP="00CF02D7">
      <w:pPr>
        <w:pStyle w:val="NWCbodytextArial11ptJustified"/>
      </w:pPr>
    </w:p>
    <w:p w14:paraId="4CCF89C4" w14:textId="77777777" w:rsidR="00B00A90" w:rsidRDefault="00B00A90" w:rsidP="00CF02D7">
      <w:pPr>
        <w:pStyle w:val="NWCbodytextArial11ptJustified"/>
      </w:pPr>
    </w:p>
    <w:p w14:paraId="50E501F0" w14:textId="77777777" w:rsidR="00B00A90" w:rsidRDefault="00B00A90" w:rsidP="00CF02D7">
      <w:pPr>
        <w:pStyle w:val="NWCbodytextArial11ptJustified"/>
      </w:pPr>
    </w:p>
    <w:p w14:paraId="7C8836F1" w14:textId="77777777" w:rsidR="00B00A90" w:rsidRDefault="00B00A90" w:rsidP="00CF02D7">
      <w:pPr>
        <w:pStyle w:val="NWCbodytextArial11ptJustified"/>
      </w:pPr>
    </w:p>
    <w:p w14:paraId="10B0A4D4" w14:textId="77777777" w:rsidR="00B00A90" w:rsidRDefault="00B00A90" w:rsidP="00CF02D7">
      <w:pPr>
        <w:pStyle w:val="NWCbodytextArial11ptJustified"/>
      </w:pPr>
    </w:p>
    <w:p w14:paraId="63B0146F" w14:textId="77777777" w:rsidR="00D91E6C" w:rsidRPr="00CF02D7" w:rsidRDefault="00D91E6C" w:rsidP="00CF02D7">
      <w:pPr>
        <w:pStyle w:val="NWCbodytextArial11ptJustified"/>
      </w:pPr>
      <w:r w:rsidRPr="00CF02D7">
        <w:t>Source: Lowe, P. (2018). Trust and Prosperity, Address to CEDA Annual Dinner, Melbourne, 20 November.</w:t>
      </w:r>
    </w:p>
    <w:p w14:paraId="54C62BA0" w14:textId="28BFE7FE" w:rsidR="005A2CE4" w:rsidRDefault="005A2CE4" w:rsidP="00CF02D7">
      <w:pPr>
        <w:pStyle w:val="NWCbodytextArial11ptJustified"/>
        <w:rPr>
          <w:i/>
        </w:rPr>
      </w:pPr>
      <w:r>
        <w:t xml:space="preserve">While Figure </w:t>
      </w:r>
      <w:r w:rsidR="001678E2">
        <w:t xml:space="preserve">1 above </w:t>
      </w:r>
      <w:r>
        <w:t xml:space="preserve">shows the divergence between productivity growth and real wages overall, award reliant workers are even worse off. </w:t>
      </w:r>
      <w:r w:rsidRPr="00DD6293">
        <w:t>There is a marked disparity between the wage outcomes for those on awards compared to employees co</w:t>
      </w:r>
      <w:r w:rsidR="00B00A90">
        <w:t>vered by collective agreements.</w:t>
      </w:r>
      <w:r>
        <w:t xml:space="preserve"> </w:t>
      </w:r>
      <w:r w:rsidRPr="00DD6293">
        <w:t xml:space="preserve">In Queensland, in May 2018, average weekly earnings for full-time </w:t>
      </w:r>
      <w:r w:rsidR="00EF2F9D">
        <w:t xml:space="preserve">non-managerial </w:t>
      </w:r>
      <w:r w:rsidRPr="00DD6293">
        <w:t xml:space="preserve">employees </w:t>
      </w:r>
      <w:r w:rsidRPr="00EF2F9D">
        <w:t>paid at the adult rate covered by industrial awards were $1</w:t>
      </w:r>
      <w:r w:rsidR="00EF2F9D" w:rsidRPr="00EF2F9D">
        <w:t>139</w:t>
      </w:r>
      <w:r w:rsidRPr="00EF2F9D">
        <w:t>.</w:t>
      </w:r>
      <w:r w:rsidR="00EF2F9D" w:rsidRPr="00EF2F9D">
        <w:t>9</w:t>
      </w:r>
      <w:r w:rsidRPr="00EF2F9D">
        <w:t>0 per week, compared to $1,</w:t>
      </w:r>
      <w:r w:rsidR="00EF2F9D" w:rsidRPr="00EF2F9D">
        <w:t>759</w:t>
      </w:r>
      <w:r w:rsidRPr="00EF2F9D">
        <w:t>.</w:t>
      </w:r>
      <w:r w:rsidR="00EF2F9D" w:rsidRPr="00EF2F9D">
        <w:t>3</w:t>
      </w:r>
      <w:r w:rsidRPr="00EF2F9D">
        <w:t>0 for those covered by collective agreements and $1,</w:t>
      </w:r>
      <w:r w:rsidR="00EF2F9D" w:rsidRPr="00EF2F9D">
        <w:t>616</w:t>
      </w:r>
      <w:r w:rsidRPr="00EF2F9D">
        <w:t>.</w:t>
      </w:r>
      <w:r w:rsidR="00EF2F9D" w:rsidRPr="00EF2F9D">
        <w:t>6</w:t>
      </w:r>
      <w:r w:rsidRPr="00EF2F9D">
        <w:t>0 for those covered by individual agreements</w:t>
      </w:r>
      <w:r w:rsidRPr="00EF2F9D">
        <w:rPr>
          <w:rStyle w:val="FootnoteReference"/>
          <w:b/>
        </w:rPr>
        <w:footnoteReference w:id="22"/>
      </w:r>
      <w:r w:rsidRPr="00EF2F9D">
        <w:t>. The ratio of award-reliant wages to the average of all wages was marginally lower (</w:t>
      </w:r>
      <w:r w:rsidR="00EF2F9D" w:rsidRPr="00EF2F9D">
        <w:t>69</w:t>
      </w:r>
      <w:r w:rsidRPr="00EF2F9D">
        <w:t>.</w:t>
      </w:r>
      <w:r w:rsidR="00EF2F9D" w:rsidRPr="00EF2F9D">
        <w:t>95</w:t>
      </w:r>
      <w:r w:rsidRPr="00EF2F9D">
        <w:t xml:space="preserve">%) in Queensland than the national average of </w:t>
      </w:r>
      <w:r w:rsidR="00EF2F9D" w:rsidRPr="00EF2F9D">
        <w:t>76</w:t>
      </w:r>
      <w:r w:rsidRPr="00EF2F9D">
        <w:t>.</w:t>
      </w:r>
      <w:r w:rsidR="00EF2F9D" w:rsidRPr="00EF2F9D">
        <w:t>37</w:t>
      </w:r>
      <w:r w:rsidRPr="00EF2F9D">
        <w:t>%</w:t>
      </w:r>
      <w:r w:rsidRPr="00EF2F9D">
        <w:rPr>
          <w:i/>
        </w:rPr>
        <w:t>.</w:t>
      </w:r>
    </w:p>
    <w:p w14:paraId="4EB70EFA" w14:textId="7657907E" w:rsidR="00FA5585" w:rsidRPr="00151D1D" w:rsidRDefault="00FA5585" w:rsidP="00CF02D7">
      <w:pPr>
        <w:pStyle w:val="NWCbodytextArial11ptJustified"/>
      </w:pPr>
      <w:r w:rsidRPr="00151D1D">
        <w:t xml:space="preserve">As </w:t>
      </w:r>
      <w:r w:rsidR="00F446A1">
        <w:t>award-reliance increases and b</w:t>
      </w:r>
      <w:r w:rsidRPr="00151D1D">
        <w:t xml:space="preserve">argaining coverage has started to fall off, the AWR continues to perform a vital role in responding to this marked disparity between the wage outcomes for those workers on the NMW and award-reliant employees compared to those workers who receive higher rates of pay under collectively bargained agreements. </w:t>
      </w:r>
    </w:p>
    <w:p w14:paraId="51848120" w14:textId="77777777" w:rsidR="005A2CE4" w:rsidRPr="00597C3D" w:rsidRDefault="005A2CE4" w:rsidP="005A2CE4">
      <w:pPr>
        <w:keepNext/>
        <w:keepLines/>
        <w:tabs>
          <w:tab w:val="left" w:pos="540"/>
          <w:tab w:val="left" w:pos="900"/>
        </w:tabs>
        <w:spacing w:before="120" w:after="120"/>
        <w:jc w:val="both"/>
        <w:rPr>
          <w:rFonts w:ascii="Arial" w:hAnsi="Arial" w:cs="Arial"/>
          <w:b/>
          <w:snapToGrid w:val="0"/>
        </w:rPr>
      </w:pPr>
      <w:r w:rsidRPr="00597C3D">
        <w:rPr>
          <w:rFonts w:ascii="Arial" w:hAnsi="Arial" w:cs="Arial"/>
          <w:b/>
          <w:snapToGrid w:val="0"/>
        </w:rPr>
        <w:t xml:space="preserve">Table 2:  Real and nominal increases for award rates and AWOTE, 2008-2018 </w:t>
      </w: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134"/>
        <w:gridCol w:w="1134"/>
        <w:gridCol w:w="1134"/>
        <w:gridCol w:w="1134"/>
        <w:gridCol w:w="1275"/>
      </w:tblGrid>
      <w:tr w:rsidR="005A2CE4" w:rsidRPr="00AC29D9" w14:paraId="2BCFCF90" w14:textId="77777777" w:rsidTr="005865F4">
        <w:trPr>
          <w:trHeight w:val="340"/>
          <w:tblHeader/>
          <w:jc w:val="center"/>
        </w:trPr>
        <w:tc>
          <w:tcPr>
            <w:tcW w:w="1447" w:type="dxa"/>
            <w:vMerge w:val="restart"/>
            <w:tcBorders>
              <w:bottom w:val="single" w:sz="4" w:space="0" w:color="auto"/>
            </w:tcBorders>
            <w:shd w:val="clear" w:color="auto" w:fill="E6E6E6"/>
            <w:vAlign w:val="center"/>
          </w:tcPr>
          <w:p w14:paraId="635A86F5"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Wage group</w:t>
            </w:r>
          </w:p>
        </w:tc>
        <w:tc>
          <w:tcPr>
            <w:tcW w:w="2268" w:type="dxa"/>
            <w:gridSpan w:val="2"/>
            <w:tcBorders>
              <w:bottom w:val="single" w:sz="4" w:space="0" w:color="auto"/>
            </w:tcBorders>
            <w:shd w:val="clear" w:color="auto" w:fill="E6E6E6"/>
            <w:vAlign w:val="center"/>
          </w:tcPr>
          <w:p w14:paraId="22F85925"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Weekly rate of pay</w:t>
            </w:r>
          </w:p>
        </w:tc>
        <w:tc>
          <w:tcPr>
            <w:tcW w:w="1134" w:type="dxa"/>
            <w:vMerge w:val="restart"/>
            <w:tcBorders>
              <w:bottom w:val="single" w:sz="4" w:space="0" w:color="auto"/>
            </w:tcBorders>
            <w:shd w:val="clear" w:color="auto" w:fill="E6E6E6"/>
            <w:vAlign w:val="center"/>
          </w:tcPr>
          <w:p w14:paraId="2C80A8C0"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 increase</w:t>
            </w:r>
          </w:p>
        </w:tc>
        <w:tc>
          <w:tcPr>
            <w:tcW w:w="1134" w:type="dxa"/>
            <w:vMerge w:val="restart"/>
            <w:tcBorders>
              <w:bottom w:val="single" w:sz="4" w:space="0" w:color="auto"/>
            </w:tcBorders>
            <w:shd w:val="clear" w:color="auto" w:fill="E6E6E6"/>
            <w:vAlign w:val="center"/>
          </w:tcPr>
          <w:p w14:paraId="5ED68C17"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Nominal % increase</w:t>
            </w:r>
          </w:p>
        </w:tc>
        <w:tc>
          <w:tcPr>
            <w:tcW w:w="1275" w:type="dxa"/>
            <w:vMerge w:val="restart"/>
            <w:tcBorders>
              <w:bottom w:val="single" w:sz="4" w:space="0" w:color="auto"/>
            </w:tcBorders>
            <w:shd w:val="clear" w:color="auto" w:fill="E6E6E6"/>
            <w:vAlign w:val="center"/>
          </w:tcPr>
          <w:p w14:paraId="67C92CFD"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Real % increase</w:t>
            </w:r>
          </w:p>
        </w:tc>
      </w:tr>
      <w:tr w:rsidR="005A2CE4" w:rsidRPr="00AC29D9" w14:paraId="0C12AEEF" w14:textId="77777777" w:rsidTr="005865F4">
        <w:trPr>
          <w:trHeight w:val="336"/>
          <w:tblHeader/>
          <w:jc w:val="center"/>
        </w:trPr>
        <w:tc>
          <w:tcPr>
            <w:tcW w:w="1447" w:type="dxa"/>
            <w:vMerge/>
            <w:shd w:val="clear" w:color="auto" w:fill="FFFFFF"/>
            <w:vAlign w:val="center"/>
          </w:tcPr>
          <w:p w14:paraId="5E5A7F22"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p>
        </w:tc>
        <w:tc>
          <w:tcPr>
            <w:tcW w:w="1134" w:type="dxa"/>
            <w:shd w:val="clear" w:color="auto" w:fill="FFFFFF"/>
            <w:vAlign w:val="center"/>
          </w:tcPr>
          <w:p w14:paraId="50CC218E"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200</w:t>
            </w:r>
            <w:r w:rsidR="00BF2B30">
              <w:rPr>
                <w:rFonts w:ascii="Arial" w:hAnsi="Arial" w:cs="Arial"/>
                <w:sz w:val="20"/>
                <w:szCs w:val="20"/>
              </w:rPr>
              <w:t>8</w:t>
            </w:r>
          </w:p>
        </w:tc>
        <w:tc>
          <w:tcPr>
            <w:tcW w:w="1134" w:type="dxa"/>
            <w:vAlign w:val="center"/>
          </w:tcPr>
          <w:p w14:paraId="42301522"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r w:rsidRPr="00AC29D9">
              <w:rPr>
                <w:rFonts w:ascii="Arial" w:hAnsi="Arial" w:cs="Arial"/>
                <w:sz w:val="20"/>
                <w:szCs w:val="20"/>
              </w:rPr>
              <w:t>201</w:t>
            </w:r>
            <w:r w:rsidR="00BF2B30">
              <w:rPr>
                <w:rFonts w:ascii="Arial" w:hAnsi="Arial" w:cs="Arial"/>
                <w:sz w:val="20"/>
                <w:szCs w:val="20"/>
              </w:rPr>
              <w:t>8</w:t>
            </w:r>
          </w:p>
        </w:tc>
        <w:tc>
          <w:tcPr>
            <w:tcW w:w="1134" w:type="dxa"/>
            <w:vMerge/>
            <w:vAlign w:val="center"/>
          </w:tcPr>
          <w:p w14:paraId="49A79D4E"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p>
        </w:tc>
        <w:tc>
          <w:tcPr>
            <w:tcW w:w="1134" w:type="dxa"/>
            <w:vMerge/>
            <w:vAlign w:val="center"/>
          </w:tcPr>
          <w:p w14:paraId="3E4A9F04"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p>
        </w:tc>
        <w:tc>
          <w:tcPr>
            <w:tcW w:w="1275" w:type="dxa"/>
            <w:vMerge/>
            <w:vAlign w:val="center"/>
          </w:tcPr>
          <w:p w14:paraId="4FC32296" w14:textId="77777777" w:rsidR="005A2CE4" w:rsidRPr="00AC29D9" w:rsidRDefault="005A2CE4" w:rsidP="005865F4">
            <w:pPr>
              <w:keepNext/>
              <w:keepLines/>
              <w:autoSpaceDE w:val="0"/>
              <w:autoSpaceDN w:val="0"/>
              <w:adjustRightInd w:val="0"/>
              <w:spacing w:before="20" w:after="20"/>
              <w:jc w:val="center"/>
              <w:rPr>
                <w:rFonts w:ascii="Arial" w:hAnsi="Arial" w:cs="Arial"/>
                <w:sz w:val="20"/>
                <w:szCs w:val="20"/>
              </w:rPr>
            </w:pPr>
          </w:p>
        </w:tc>
      </w:tr>
      <w:tr w:rsidR="005A2CE4" w:rsidRPr="00AC29D9" w14:paraId="298886A8" w14:textId="77777777" w:rsidTr="00151D1D">
        <w:trPr>
          <w:trHeight w:val="359"/>
          <w:jc w:val="center"/>
        </w:trPr>
        <w:tc>
          <w:tcPr>
            <w:tcW w:w="1447" w:type="dxa"/>
            <w:shd w:val="clear" w:color="auto" w:fill="FFFFFF"/>
            <w:vAlign w:val="bottom"/>
          </w:tcPr>
          <w:p w14:paraId="43CDC384"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C14</w:t>
            </w:r>
          </w:p>
        </w:tc>
        <w:tc>
          <w:tcPr>
            <w:tcW w:w="1134" w:type="dxa"/>
            <w:shd w:val="clear" w:color="auto" w:fill="FFFFFF"/>
            <w:vAlign w:val="bottom"/>
          </w:tcPr>
          <w:p w14:paraId="47D27DBD"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$543.90</w:t>
            </w:r>
          </w:p>
        </w:tc>
        <w:tc>
          <w:tcPr>
            <w:tcW w:w="1134" w:type="dxa"/>
            <w:vAlign w:val="bottom"/>
          </w:tcPr>
          <w:p w14:paraId="712E8CE1"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719.20</w:t>
            </w:r>
          </w:p>
        </w:tc>
        <w:tc>
          <w:tcPr>
            <w:tcW w:w="1134" w:type="dxa"/>
            <w:tcBorders>
              <w:top w:val="single" w:sz="8" w:space="0" w:color="auto"/>
              <w:left w:val="nil"/>
              <w:bottom w:val="single" w:sz="8" w:space="0" w:color="auto"/>
              <w:right w:val="single" w:sz="8" w:space="0" w:color="auto"/>
            </w:tcBorders>
            <w:shd w:val="clear" w:color="auto" w:fill="auto"/>
            <w:vAlign w:val="bottom"/>
          </w:tcPr>
          <w:p w14:paraId="21DF900C"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$175.30</w:t>
            </w:r>
          </w:p>
        </w:tc>
        <w:tc>
          <w:tcPr>
            <w:tcW w:w="1134" w:type="dxa"/>
            <w:tcBorders>
              <w:top w:val="single" w:sz="8" w:space="0" w:color="auto"/>
              <w:left w:val="nil"/>
              <w:bottom w:val="single" w:sz="8" w:space="0" w:color="auto"/>
              <w:right w:val="single" w:sz="8" w:space="0" w:color="auto"/>
            </w:tcBorders>
            <w:shd w:val="clear" w:color="auto" w:fill="auto"/>
            <w:vAlign w:val="bottom"/>
          </w:tcPr>
          <w:p w14:paraId="18A5DD06"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32.23%</w:t>
            </w:r>
          </w:p>
        </w:tc>
        <w:tc>
          <w:tcPr>
            <w:tcW w:w="1275" w:type="dxa"/>
            <w:tcBorders>
              <w:top w:val="single" w:sz="8" w:space="0" w:color="auto"/>
              <w:left w:val="nil"/>
              <w:bottom w:val="single" w:sz="8" w:space="0" w:color="auto"/>
              <w:right w:val="single" w:sz="8" w:space="0" w:color="auto"/>
            </w:tcBorders>
            <w:shd w:val="clear" w:color="auto" w:fill="auto"/>
            <w:vAlign w:val="bottom"/>
          </w:tcPr>
          <w:p w14:paraId="2E1CFFA7"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8.00%</w:t>
            </w:r>
          </w:p>
        </w:tc>
      </w:tr>
      <w:tr w:rsidR="005A2CE4" w:rsidRPr="00AC29D9" w14:paraId="503D5B27" w14:textId="77777777" w:rsidTr="00151D1D">
        <w:trPr>
          <w:trHeight w:val="356"/>
          <w:jc w:val="center"/>
        </w:trPr>
        <w:tc>
          <w:tcPr>
            <w:tcW w:w="1447" w:type="dxa"/>
            <w:shd w:val="clear" w:color="auto" w:fill="FFFFFF"/>
            <w:vAlign w:val="bottom"/>
          </w:tcPr>
          <w:p w14:paraId="75A29E77"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C13</w:t>
            </w:r>
          </w:p>
        </w:tc>
        <w:tc>
          <w:tcPr>
            <w:tcW w:w="1134" w:type="dxa"/>
            <w:shd w:val="clear" w:color="auto" w:fill="FFFFFF"/>
            <w:vAlign w:val="bottom"/>
          </w:tcPr>
          <w:p w14:paraId="7AA62759"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$560.50</w:t>
            </w:r>
          </w:p>
        </w:tc>
        <w:tc>
          <w:tcPr>
            <w:tcW w:w="1134" w:type="dxa"/>
            <w:vAlign w:val="bottom"/>
          </w:tcPr>
          <w:p w14:paraId="534085BB"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739.90</w:t>
            </w:r>
          </w:p>
        </w:tc>
        <w:tc>
          <w:tcPr>
            <w:tcW w:w="1134" w:type="dxa"/>
            <w:tcBorders>
              <w:top w:val="nil"/>
              <w:left w:val="nil"/>
              <w:bottom w:val="single" w:sz="8" w:space="0" w:color="auto"/>
              <w:right w:val="single" w:sz="8" w:space="0" w:color="auto"/>
            </w:tcBorders>
            <w:shd w:val="clear" w:color="auto" w:fill="auto"/>
            <w:vAlign w:val="bottom"/>
          </w:tcPr>
          <w:p w14:paraId="6D572F46"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$179.40</w:t>
            </w:r>
          </w:p>
        </w:tc>
        <w:tc>
          <w:tcPr>
            <w:tcW w:w="1134" w:type="dxa"/>
            <w:tcBorders>
              <w:top w:val="nil"/>
              <w:left w:val="nil"/>
              <w:bottom w:val="single" w:sz="8" w:space="0" w:color="auto"/>
              <w:right w:val="single" w:sz="8" w:space="0" w:color="auto"/>
            </w:tcBorders>
            <w:shd w:val="clear" w:color="auto" w:fill="auto"/>
            <w:vAlign w:val="bottom"/>
          </w:tcPr>
          <w:p w14:paraId="44BD7030"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32.01%</w:t>
            </w:r>
          </w:p>
        </w:tc>
        <w:tc>
          <w:tcPr>
            <w:tcW w:w="1275" w:type="dxa"/>
            <w:tcBorders>
              <w:top w:val="nil"/>
              <w:left w:val="nil"/>
              <w:bottom w:val="single" w:sz="8" w:space="0" w:color="auto"/>
              <w:right w:val="single" w:sz="8" w:space="0" w:color="auto"/>
            </w:tcBorders>
            <w:shd w:val="clear" w:color="auto" w:fill="auto"/>
            <w:vAlign w:val="bottom"/>
          </w:tcPr>
          <w:p w14:paraId="3285C0AC"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7.82%</w:t>
            </w:r>
          </w:p>
        </w:tc>
      </w:tr>
      <w:tr w:rsidR="005A2CE4" w:rsidRPr="00AC29D9" w14:paraId="18F91586" w14:textId="77777777" w:rsidTr="00151D1D">
        <w:trPr>
          <w:trHeight w:val="337"/>
          <w:jc w:val="center"/>
        </w:trPr>
        <w:tc>
          <w:tcPr>
            <w:tcW w:w="1447" w:type="dxa"/>
            <w:shd w:val="clear" w:color="auto" w:fill="FFFFFF"/>
            <w:vAlign w:val="bottom"/>
          </w:tcPr>
          <w:p w14:paraId="5CDECABF"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C12</w:t>
            </w:r>
          </w:p>
        </w:tc>
        <w:tc>
          <w:tcPr>
            <w:tcW w:w="1134" w:type="dxa"/>
            <w:shd w:val="clear" w:color="auto" w:fill="FFFFFF"/>
            <w:vAlign w:val="bottom"/>
          </w:tcPr>
          <w:p w14:paraId="6A14EA95"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$583.00</w:t>
            </w:r>
          </w:p>
        </w:tc>
        <w:tc>
          <w:tcPr>
            <w:tcW w:w="1134" w:type="dxa"/>
            <w:vAlign w:val="bottom"/>
          </w:tcPr>
          <w:p w14:paraId="3F78573B"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768.30</w:t>
            </w:r>
          </w:p>
        </w:tc>
        <w:tc>
          <w:tcPr>
            <w:tcW w:w="1134" w:type="dxa"/>
            <w:tcBorders>
              <w:top w:val="nil"/>
              <w:left w:val="nil"/>
              <w:bottom w:val="single" w:sz="8" w:space="0" w:color="auto"/>
              <w:right w:val="single" w:sz="8" w:space="0" w:color="auto"/>
            </w:tcBorders>
            <w:shd w:val="clear" w:color="auto" w:fill="auto"/>
            <w:vAlign w:val="bottom"/>
          </w:tcPr>
          <w:p w14:paraId="06B74B01"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$185.30</w:t>
            </w:r>
          </w:p>
        </w:tc>
        <w:tc>
          <w:tcPr>
            <w:tcW w:w="1134" w:type="dxa"/>
            <w:tcBorders>
              <w:top w:val="nil"/>
              <w:left w:val="nil"/>
              <w:bottom w:val="single" w:sz="8" w:space="0" w:color="auto"/>
              <w:right w:val="single" w:sz="8" w:space="0" w:color="auto"/>
            </w:tcBorders>
            <w:shd w:val="clear" w:color="auto" w:fill="auto"/>
            <w:vAlign w:val="bottom"/>
          </w:tcPr>
          <w:p w14:paraId="40C50D4D"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31.78%</w:t>
            </w:r>
          </w:p>
        </w:tc>
        <w:tc>
          <w:tcPr>
            <w:tcW w:w="1275" w:type="dxa"/>
            <w:tcBorders>
              <w:top w:val="nil"/>
              <w:left w:val="nil"/>
              <w:bottom w:val="single" w:sz="8" w:space="0" w:color="auto"/>
              <w:right w:val="single" w:sz="8" w:space="0" w:color="auto"/>
            </w:tcBorders>
            <w:shd w:val="clear" w:color="auto" w:fill="auto"/>
            <w:vAlign w:val="bottom"/>
          </w:tcPr>
          <w:p w14:paraId="629C15B1"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7.63%</w:t>
            </w:r>
          </w:p>
        </w:tc>
      </w:tr>
      <w:tr w:rsidR="005A2CE4" w:rsidRPr="00AC29D9" w14:paraId="42A58655" w14:textId="77777777" w:rsidTr="00151D1D">
        <w:trPr>
          <w:trHeight w:val="347"/>
          <w:jc w:val="center"/>
        </w:trPr>
        <w:tc>
          <w:tcPr>
            <w:tcW w:w="1447" w:type="dxa"/>
            <w:shd w:val="clear" w:color="auto" w:fill="FFFFFF"/>
            <w:vAlign w:val="bottom"/>
          </w:tcPr>
          <w:p w14:paraId="26BB7093"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C11</w:t>
            </w:r>
          </w:p>
        </w:tc>
        <w:tc>
          <w:tcPr>
            <w:tcW w:w="1134" w:type="dxa"/>
            <w:shd w:val="clear" w:color="auto" w:fill="FFFFFF"/>
            <w:vAlign w:val="bottom"/>
          </w:tcPr>
          <w:p w14:paraId="7FDA8865"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$603.90</w:t>
            </w:r>
          </w:p>
        </w:tc>
        <w:tc>
          <w:tcPr>
            <w:tcW w:w="1134" w:type="dxa"/>
            <w:vAlign w:val="bottom"/>
          </w:tcPr>
          <w:p w14:paraId="7DAF9874"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794.70</w:t>
            </w:r>
          </w:p>
        </w:tc>
        <w:tc>
          <w:tcPr>
            <w:tcW w:w="1134" w:type="dxa"/>
            <w:tcBorders>
              <w:top w:val="nil"/>
              <w:left w:val="nil"/>
              <w:bottom w:val="single" w:sz="8" w:space="0" w:color="auto"/>
              <w:right w:val="single" w:sz="8" w:space="0" w:color="auto"/>
            </w:tcBorders>
            <w:shd w:val="clear" w:color="auto" w:fill="auto"/>
            <w:vAlign w:val="bottom"/>
          </w:tcPr>
          <w:p w14:paraId="54788D74"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$190.80</w:t>
            </w:r>
          </w:p>
        </w:tc>
        <w:tc>
          <w:tcPr>
            <w:tcW w:w="1134" w:type="dxa"/>
            <w:tcBorders>
              <w:top w:val="nil"/>
              <w:left w:val="nil"/>
              <w:bottom w:val="single" w:sz="8" w:space="0" w:color="auto"/>
              <w:right w:val="single" w:sz="8" w:space="0" w:color="auto"/>
            </w:tcBorders>
            <w:shd w:val="clear" w:color="auto" w:fill="auto"/>
            <w:vAlign w:val="bottom"/>
          </w:tcPr>
          <w:p w14:paraId="2FD789F6"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31.59%</w:t>
            </w:r>
          </w:p>
        </w:tc>
        <w:tc>
          <w:tcPr>
            <w:tcW w:w="1275" w:type="dxa"/>
            <w:tcBorders>
              <w:top w:val="nil"/>
              <w:left w:val="nil"/>
              <w:bottom w:val="single" w:sz="8" w:space="0" w:color="auto"/>
              <w:right w:val="single" w:sz="8" w:space="0" w:color="auto"/>
            </w:tcBorders>
            <w:shd w:val="clear" w:color="auto" w:fill="auto"/>
            <w:vAlign w:val="bottom"/>
          </w:tcPr>
          <w:p w14:paraId="7AD46EA4"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7.48%</w:t>
            </w:r>
          </w:p>
        </w:tc>
      </w:tr>
      <w:tr w:rsidR="005A2CE4" w:rsidRPr="00AC29D9" w14:paraId="514CE081" w14:textId="77777777" w:rsidTr="00151D1D">
        <w:trPr>
          <w:trHeight w:val="358"/>
          <w:jc w:val="center"/>
        </w:trPr>
        <w:tc>
          <w:tcPr>
            <w:tcW w:w="1447" w:type="dxa"/>
            <w:shd w:val="clear" w:color="auto" w:fill="FFFFFF"/>
            <w:vAlign w:val="bottom"/>
          </w:tcPr>
          <w:p w14:paraId="631F555A"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C10</w:t>
            </w:r>
          </w:p>
        </w:tc>
        <w:tc>
          <w:tcPr>
            <w:tcW w:w="1134" w:type="dxa"/>
            <w:shd w:val="clear" w:color="auto" w:fill="FFFFFF"/>
            <w:vAlign w:val="bottom"/>
          </w:tcPr>
          <w:p w14:paraId="441A3BCE"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$637.60</w:t>
            </w:r>
          </w:p>
        </w:tc>
        <w:tc>
          <w:tcPr>
            <w:tcW w:w="1134" w:type="dxa"/>
            <w:vAlign w:val="bottom"/>
          </w:tcPr>
          <w:p w14:paraId="3D752D12"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837.40</w:t>
            </w:r>
          </w:p>
        </w:tc>
        <w:tc>
          <w:tcPr>
            <w:tcW w:w="1134" w:type="dxa"/>
            <w:tcBorders>
              <w:top w:val="nil"/>
              <w:left w:val="nil"/>
              <w:bottom w:val="single" w:sz="8" w:space="0" w:color="auto"/>
              <w:right w:val="single" w:sz="8" w:space="0" w:color="auto"/>
            </w:tcBorders>
            <w:shd w:val="clear" w:color="auto" w:fill="auto"/>
            <w:vAlign w:val="bottom"/>
          </w:tcPr>
          <w:p w14:paraId="534EE035"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$199.80</w:t>
            </w:r>
          </w:p>
        </w:tc>
        <w:tc>
          <w:tcPr>
            <w:tcW w:w="1134" w:type="dxa"/>
            <w:tcBorders>
              <w:top w:val="nil"/>
              <w:left w:val="nil"/>
              <w:bottom w:val="single" w:sz="8" w:space="0" w:color="auto"/>
              <w:right w:val="single" w:sz="8" w:space="0" w:color="auto"/>
            </w:tcBorders>
            <w:shd w:val="clear" w:color="auto" w:fill="auto"/>
            <w:vAlign w:val="bottom"/>
          </w:tcPr>
          <w:p w14:paraId="13FC34D6"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31.34%</w:t>
            </w:r>
          </w:p>
        </w:tc>
        <w:tc>
          <w:tcPr>
            <w:tcW w:w="1275" w:type="dxa"/>
            <w:tcBorders>
              <w:top w:val="nil"/>
              <w:left w:val="nil"/>
              <w:bottom w:val="single" w:sz="8" w:space="0" w:color="auto"/>
              <w:right w:val="single" w:sz="8" w:space="0" w:color="auto"/>
            </w:tcBorders>
            <w:shd w:val="clear" w:color="auto" w:fill="auto"/>
            <w:vAlign w:val="bottom"/>
          </w:tcPr>
          <w:p w14:paraId="4D83B894"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7.27%</w:t>
            </w:r>
          </w:p>
        </w:tc>
      </w:tr>
      <w:tr w:rsidR="005A2CE4" w:rsidRPr="00AC29D9" w14:paraId="637B7532" w14:textId="77777777" w:rsidTr="00151D1D">
        <w:trPr>
          <w:trHeight w:val="330"/>
          <w:jc w:val="center"/>
        </w:trPr>
        <w:tc>
          <w:tcPr>
            <w:tcW w:w="1447" w:type="dxa"/>
            <w:shd w:val="clear" w:color="auto" w:fill="FFFFFF"/>
            <w:vAlign w:val="bottom"/>
          </w:tcPr>
          <w:p w14:paraId="0D4D8D6F"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C9</w:t>
            </w:r>
          </w:p>
        </w:tc>
        <w:tc>
          <w:tcPr>
            <w:tcW w:w="1134" w:type="dxa"/>
            <w:shd w:val="clear" w:color="auto" w:fill="FFFFFF"/>
            <w:vAlign w:val="bottom"/>
          </w:tcPr>
          <w:p w14:paraId="73378342"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$658.50</w:t>
            </w:r>
          </w:p>
        </w:tc>
        <w:tc>
          <w:tcPr>
            <w:tcW w:w="1134" w:type="dxa"/>
            <w:vAlign w:val="bottom"/>
          </w:tcPr>
          <w:p w14:paraId="33B37410"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863.60</w:t>
            </w:r>
          </w:p>
        </w:tc>
        <w:tc>
          <w:tcPr>
            <w:tcW w:w="1134" w:type="dxa"/>
            <w:tcBorders>
              <w:top w:val="nil"/>
              <w:left w:val="nil"/>
              <w:bottom w:val="single" w:sz="8" w:space="0" w:color="auto"/>
              <w:right w:val="single" w:sz="8" w:space="0" w:color="auto"/>
            </w:tcBorders>
            <w:shd w:val="clear" w:color="auto" w:fill="auto"/>
            <w:vAlign w:val="bottom"/>
          </w:tcPr>
          <w:p w14:paraId="067851AC"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$205.10</w:t>
            </w:r>
          </w:p>
        </w:tc>
        <w:tc>
          <w:tcPr>
            <w:tcW w:w="1134" w:type="dxa"/>
            <w:tcBorders>
              <w:top w:val="nil"/>
              <w:left w:val="nil"/>
              <w:bottom w:val="single" w:sz="8" w:space="0" w:color="auto"/>
              <w:right w:val="single" w:sz="8" w:space="0" w:color="auto"/>
            </w:tcBorders>
            <w:shd w:val="clear" w:color="auto" w:fill="auto"/>
            <w:vAlign w:val="bottom"/>
          </w:tcPr>
          <w:p w14:paraId="50E1EE61"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31.15%</w:t>
            </w:r>
          </w:p>
        </w:tc>
        <w:tc>
          <w:tcPr>
            <w:tcW w:w="1275" w:type="dxa"/>
            <w:tcBorders>
              <w:top w:val="nil"/>
              <w:left w:val="nil"/>
              <w:bottom w:val="single" w:sz="8" w:space="0" w:color="auto"/>
              <w:right w:val="single" w:sz="8" w:space="0" w:color="auto"/>
            </w:tcBorders>
            <w:shd w:val="clear" w:color="auto" w:fill="auto"/>
            <w:vAlign w:val="bottom"/>
          </w:tcPr>
          <w:p w14:paraId="0682D03D"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7.11%</w:t>
            </w:r>
          </w:p>
        </w:tc>
      </w:tr>
      <w:tr w:rsidR="005A2CE4" w:rsidRPr="00AC29D9" w14:paraId="16A03DDD" w14:textId="77777777" w:rsidTr="00151D1D">
        <w:trPr>
          <w:trHeight w:val="330"/>
          <w:jc w:val="center"/>
        </w:trPr>
        <w:tc>
          <w:tcPr>
            <w:tcW w:w="1447" w:type="dxa"/>
            <w:shd w:val="clear" w:color="auto" w:fill="FFFFFF"/>
            <w:vAlign w:val="bottom"/>
          </w:tcPr>
          <w:p w14:paraId="124BF27B"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C8</w:t>
            </w:r>
          </w:p>
        </w:tc>
        <w:tc>
          <w:tcPr>
            <w:tcW w:w="1134" w:type="dxa"/>
            <w:shd w:val="clear" w:color="auto" w:fill="FFFFFF"/>
            <w:vAlign w:val="bottom"/>
          </w:tcPr>
          <w:p w14:paraId="06A22111"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$679.30</w:t>
            </w:r>
          </w:p>
        </w:tc>
        <w:tc>
          <w:tcPr>
            <w:tcW w:w="1134" w:type="dxa"/>
            <w:vAlign w:val="bottom"/>
          </w:tcPr>
          <w:p w14:paraId="14DB4E7D"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889.90</w:t>
            </w:r>
          </w:p>
        </w:tc>
        <w:tc>
          <w:tcPr>
            <w:tcW w:w="1134" w:type="dxa"/>
            <w:tcBorders>
              <w:top w:val="nil"/>
              <w:left w:val="nil"/>
              <w:bottom w:val="single" w:sz="8" w:space="0" w:color="auto"/>
              <w:right w:val="single" w:sz="8" w:space="0" w:color="auto"/>
            </w:tcBorders>
            <w:shd w:val="clear" w:color="auto" w:fill="auto"/>
            <w:vAlign w:val="bottom"/>
          </w:tcPr>
          <w:p w14:paraId="3C5EC590"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$210.60</w:t>
            </w:r>
          </w:p>
        </w:tc>
        <w:tc>
          <w:tcPr>
            <w:tcW w:w="1134" w:type="dxa"/>
            <w:tcBorders>
              <w:top w:val="nil"/>
              <w:left w:val="nil"/>
              <w:bottom w:val="single" w:sz="8" w:space="0" w:color="auto"/>
              <w:right w:val="single" w:sz="8" w:space="0" w:color="auto"/>
            </w:tcBorders>
            <w:shd w:val="clear" w:color="auto" w:fill="auto"/>
            <w:vAlign w:val="bottom"/>
          </w:tcPr>
          <w:p w14:paraId="1ACDE8FA"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31.00%</w:t>
            </w:r>
          </w:p>
        </w:tc>
        <w:tc>
          <w:tcPr>
            <w:tcW w:w="1275" w:type="dxa"/>
            <w:tcBorders>
              <w:top w:val="nil"/>
              <w:left w:val="nil"/>
              <w:bottom w:val="single" w:sz="8" w:space="0" w:color="auto"/>
              <w:right w:val="single" w:sz="8" w:space="0" w:color="auto"/>
            </w:tcBorders>
            <w:shd w:val="clear" w:color="auto" w:fill="auto"/>
            <w:vAlign w:val="bottom"/>
          </w:tcPr>
          <w:p w14:paraId="686F731E"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6.99%</w:t>
            </w:r>
          </w:p>
        </w:tc>
      </w:tr>
      <w:tr w:rsidR="005A2CE4" w:rsidRPr="00AC29D9" w14:paraId="20FBA600" w14:textId="77777777" w:rsidTr="00151D1D">
        <w:trPr>
          <w:trHeight w:val="330"/>
          <w:jc w:val="center"/>
        </w:trPr>
        <w:tc>
          <w:tcPr>
            <w:tcW w:w="1447" w:type="dxa"/>
            <w:shd w:val="clear" w:color="auto" w:fill="FFFFFF"/>
            <w:vAlign w:val="bottom"/>
          </w:tcPr>
          <w:p w14:paraId="1C71F358"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C7</w:t>
            </w:r>
          </w:p>
        </w:tc>
        <w:tc>
          <w:tcPr>
            <w:tcW w:w="1134" w:type="dxa"/>
            <w:shd w:val="clear" w:color="auto" w:fill="FFFFFF"/>
            <w:vAlign w:val="bottom"/>
          </w:tcPr>
          <w:p w14:paraId="5A914950"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$698.20</w:t>
            </w:r>
          </w:p>
        </w:tc>
        <w:tc>
          <w:tcPr>
            <w:tcW w:w="1134" w:type="dxa"/>
            <w:vAlign w:val="bottom"/>
          </w:tcPr>
          <w:p w14:paraId="12B673CF"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913.70</w:t>
            </w:r>
          </w:p>
        </w:tc>
        <w:tc>
          <w:tcPr>
            <w:tcW w:w="1134" w:type="dxa"/>
            <w:tcBorders>
              <w:top w:val="nil"/>
              <w:left w:val="nil"/>
              <w:bottom w:val="single" w:sz="8" w:space="0" w:color="auto"/>
              <w:right w:val="single" w:sz="8" w:space="0" w:color="auto"/>
            </w:tcBorders>
            <w:shd w:val="clear" w:color="auto" w:fill="auto"/>
            <w:vAlign w:val="bottom"/>
          </w:tcPr>
          <w:p w14:paraId="7C857555"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$215.50</w:t>
            </w:r>
          </w:p>
        </w:tc>
        <w:tc>
          <w:tcPr>
            <w:tcW w:w="1134" w:type="dxa"/>
            <w:tcBorders>
              <w:top w:val="nil"/>
              <w:left w:val="nil"/>
              <w:bottom w:val="single" w:sz="8" w:space="0" w:color="auto"/>
              <w:right w:val="single" w:sz="8" w:space="0" w:color="auto"/>
            </w:tcBorders>
            <w:shd w:val="clear" w:color="auto" w:fill="auto"/>
            <w:vAlign w:val="bottom"/>
          </w:tcPr>
          <w:p w14:paraId="26F3335E"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30.87%</w:t>
            </w:r>
          </w:p>
        </w:tc>
        <w:tc>
          <w:tcPr>
            <w:tcW w:w="1275" w:type="dxa"/>
            <w:tcBorders>
              <w:top w:val="nil"/>
              <w:left w:val="nil"/>
              <w:bottom w:val="single" w:sz="8" w:space="0" w:color="auto"/>
              <w:right w:val="single" w:sz="8" w:space="0" w:color="auto"/>
            </w:tcBorders>
            <w:shd w:val="clear" w:color="auto" w:fill="auto"/>
            <w:vAlign w:val="bottom"/>
          </w:tcPr>
          <w:p w14:paraId="5B066FCB"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6.88%</w:t>
            </w:r>
          </w:p>
        </w:tc>
      </w:tr>
      <w:tr w:rsidR="005A2CE4" w:rsidRPr="00AC29D9" w14:paraId="7F9FE4F1" w14:textId="77777777" w:rsidTr="00151D1D">
        <w:trPr>
          <w:trHeight w:val="330"/>
          <w:jc w:val="center"/>
        </w:trPr>
        <w:tc>
          <w:tcPr>
            <w:tcW w:w="1447" w:type="dxa"/>
            <w:shd w:val="clear" w:color="auto" w:fill="FFFFFF"/>
            <w:vAlign w:val="bottom"/>
          </w:tcPr>
          <w:p w14:paraId="711C0D03"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C6</w:t>
            </w:r>
          </w:p>
        </w:tc>
        <w:tc>
          <w:tcPr>
            <w:tcW w:w="1134" w:type="dxa"/>
            <w:shd w:val="clear" w:color="auto" w:fill="FFFFFF"/>
            <w:vAlign w:val="bottom"/>
          </w:tcPr>
          <w:p w14:paraId="5C2C2313"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$734.90</w:t>
            </w:r>
          </w:p>
        </w:tc>
        <w:tc>
          <w:tcPr>
            <w:tcW w:w="1134" w:type="dxa"/>
            <w:vAlign w:val="bottom"/>
          </w:tcPr>
          <w:p w14:paraId="244A7AD4"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960.00</w:t>
            </w:r>
          </w:p>
        </w:tc>
        <w:tc>
          <w:tcPr>
            <w:tcW w:w="1134" w:type="dxa"/>
            <w:tcBorders>
              <w:top w:val="nil"/>
              <w:left w:val="nil"/>
              <w:bottom w:val="single" w:sz="8" w:space="0" w:color="auto"/>
              <w:right w:val="single" w:sz="8" w:space="0" w:color="auto"/>
            </w:tcBorders>
            <w:shd w:val="clear" w:color="auto" w:fill="auto"/>
            <w:vAlign w:val="bottom"/>
          </w:tcPr>
          <w:p w14:paraId="5856D235"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$225.10</w:t>
            </w:r>
          </w:p>
        </w:tc>
        <w:tc>
          <w:tcPr>
            <w:tcW w:w="1134" w:type="dxa"/>
            <w:tcBorders>
              <w:top w:val="nil"/>
              <w:left w:val="nil"/>
              <w:bottom w:val="single" w:sz="8" w:space="0" w:color="auto"/>
              <w:right w:val="single" w:sz="8" w:space="0" w:color="auto"/>
            </w:tcBorders>
            <w:shd w:val="clear" w:color="auto" w:fill="auto"/>
            <w:vAlign w:val="bottom"/>
          </w:tcPr>
          <w:p w14:paraId="15CB2821"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30.63%</w:t>
            </w:r>
          </w:p>
        </w:tc>
        <w:tc>
          <w:tcPr>
            <w:tcW w:w="1275" w:type="dxa"/>
            <w:tcBorders>
              <w:top w:val="nil"/>
              <w:left w:val="nil"/>
              <w:bottom w:val="single" w:sz="8" w:space="0" w:color="auto"/>
              <w:right w:val="single" w:sz="8" w:space="0" w:color="auto"/>
            </w:tcBorders>
            <w:shd w:val="clear" w:color="auto" w:fill="auto"/>
            <w:vAlign w:val="bottom"/>
          </w:tcPr>
          <w:p w14:paraId="2DCF2A8B"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6.69%</w:t>
            </w:r>
          </w:p>
        </w:tc>
      </w:tr>
      <w:tr w:rsidR="005A2CE4" w:rsidRPr="00AC29D9" w14:paraId="0BFDB1DB" w14:textId="77777777" w:rsidTr="00151D1D">
        <w:trPr>
          <w:trHeight w:val="330"/>
          <w:jc w:val="center"/>
        </w:trPr>
        <w:tc>
          <w:tcPr>
            <w:tcW w:w="1447" w:type="dxa"/>
            <w:shd w:val="clear" w:color="auto" w:fill="FFFFFF"/>
            <w:vAlign w:val="bottom"/>
          </w:tcPr>
          <w:p w14:paraId="341EF893"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C5</w:t>
            </w:r>
          </w:p>
        </w:tc>
        <w:tc>
          <w:tcPr>
            <w:tcW w:w="1134" w:type="dxa"/>
            <w:shd w:val="clear" w:color="auto" w:fill="FFFFFF"/>
            <w:vAlign w:val="bottom"/>
          </w:tcPr>
          <w:p w14:paraId="2332DF2B"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$750.40</w:t>
            </w:r>
          </w:p>
        </w:tc>
        <w:tc>
          <w:tcPr>
            <w:tcW w:w="1134" w:type="dxa"/>
            <w:vAlign w:val="bottom"/>
          </w:tcPr>
          <w:p w14:paraId="71A83E33"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979.60</w:t>
            </w:r>
          </w:p>
        </w:tc>
        <w:tc>
          <w:tcPr>
            <w:tcW w:w="1134" w:type="dxa"/>
            <w:tcBorders>
              <w:top w:val="nil"/>
              <w:left w:val="nil"/>
              <w:bottom w:val="single" w:sz="8" w:space="0" w:color="auto"/>
              <w:right w:val="single" w:sz="8" w:space="0" w:color="auto"/>
            </w:tcBorders>
            <w:shd w:val="clear" w:color="auto" w:fill="auto"/>
            <w:vAlign w:val="bottom"/>
          </w:tcPr>
          <w:p w14:paraId="5E67129A"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$229.20</w:t>
            </w:r>
          </w:p>
        </w:tc>
        <w:tc>
          <w:tcPr>
            <w:tcW w:w="1134" w:type="dxa"/>
            <w:tcBorders>
              <w:top w:val="nil"/>
              <w:left w:val="nil"/>
              <w:bottom w:val="single" w:sz="8" w:space="0" w:color="auto"/>
              <w:right w:val="single" w:sz="8" w:space="0" w:color="auto"/>
            </w:tcBorders>
            <w:shd w:val="clear" w:color="auto" w:fill="auto"/>
            <w:vAlign w:val="bottom"/>
          </w:tcPr>
          <w:p w14:paraId="33418353"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30.54%</w:t>
            </w:r>
          </w:p>
        </w:tc>
        <w:tc>
          <w:tcPr>
            <w:tcW w:w="1275" w:type="dxa"/>
            <w:tcBorders>
              <w:top w:val="nil"/>
              <w:left w:val="nil"/>
              <w:bottom w:val="single" w:sz="8" w:space="0" w:color="auto"/>
              <w:right w:val="single" w:sz="8" w:space="0" w:color="auto"/>
            </w:tcBorders>
            <w:shd w:val="clear" w:color="auto" w:fill="auto"/>
            <w:vAlign w:val="bottom"/>
          </w:tcPr>
          <w:p w14:paraId="7357D7C6"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6.62%</w:t>
            </w:r>
          </w:p>
        </w:tc>
      </w:tr>
      <w:tr w:rsidR="005A2CE4" w:rsidRPr="00AC29D9" w14:paraId="1D56E7A0" w14:textId="77777777" w:rsidTr="00151D1D">
        <w:trPr>
          <w:trHeight w:val="330"/>
          <w:jc w:val="center"/>
        </w:trPr>
        <w:tc>
          <w:tcPr>
            <w:tcW w:w="1447" w:type="dxa"/>
            <w:shd w:val="clear" w:color="auto" w:fill="FFFFFF"/>
            <w:vAlign w:val="bottom"/>
          </w:tcPr>
          <w:p w14:paraId="1E9CD9D4"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C4</w:t>
            </w:r>
          </w:p>
        </w:tc>
        <w:tc>
          <w:tcPr>
            <w:tcW w:w="1134" w:type="dxa"/>
            <w:shd w:val="clear" w:color="auto" w:fill="FFFFFF"/>
            <w:vAlign w:val="bottom"/>
          </w:tcPr>
          <w:p w14:paraId="025D677F"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$771.20</w:t>
            </w:r>
          </w:p>
        </w:tc>
        <w:tc>
          <w:tcPr>
            <w:tcW w:w="1134" w:type="dxa"/>
            <w:vAlign w:val="bottom"/>
          </w:tcPr>
          <w:p w14:paraId="54581F91"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1005.90</w:t>
            </w:r>
          </w:p>
        </w:tc>
        <w:tc>
          <w:tcPr>
            <w:tcW w:w="1134" w:type="dxa"/>
            <w:tcBorders>
              <w:top w:val="nil"/>
              <w:left w:val="nil"/>
              <w:bottom w:val="single" w:sz="8" w:space="0" w:color="auto"/>
              <w:right w:val="single" w:sz="8" w:space="0" w:color="auto"/>
            </w:tcBorders>
            <w:shd w:val="clear" w:color="auto" w:fill="auto"/>
            <w:vAlign w:val="bottom"/>
          </w:tcPr>
          <w:p w14:paraId="53BFF2DD"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$234.70</w:t>
            </w:r>
          </w:p>
        </w:tc>
        <w:tc>
          <w:tcPr>
            <w:tcW w:w="1134" w:type="dxa"/>
            <w:tcBorders>
              <w:top w:val="nil"/>
              <w:left w:val="nil"/>
              <w:bottom w:val="single" w:sz="8" w:space="0" w:color="auto"/>
              <w:right w:val="single" w:sz="8" w:space="0" w:color="auto"/>
            </w:tcBorders>
            <w:shd w:val="clear" w:color="auto" w:fill="auto"/>
            <w:vAlign w:val="bottom"/>
          </w:tcPr>
          <w:p w14:paraId="05D4FC6E"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30.43%</w:t>
            </w:r>
          </w:p>
        </w:tc>
        <w:tc>
          <w:tcPr>
            <w:tcW w:w="1275" w:type="dxa"/>
            <w:tcBorders>
              <w:top w:val="nil"/>
              <w:left w:val="nil"/>
              <w:bottom w:val="single" w:sz="8" w:space="0" w:color="auto"/>
              <w:right w:val="single" w:sz="8" w:space="0" w:color="auto"/>
            </w:tcBorders>
            <w:shd w:val="clear" w:color="auto" w:fill="auto"/>
            <w:vAlign w:val="bottom"/>
          </w:tcPr>
          <w:p w14:paraId="56E4A9E7"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6.53%</w:t>
            </w:r>
          </w:p>
        </w:tc>
      </w:tr>
      <w:tr w:rsidR="005A2CE4" w:rsidRPr="00AC29D9" w14:paraId="0A5D6960" w14:textId="77777777" w:rsidTr="00151D1D">
        <w:trPr>
          <w:trHeight w:val="330"/>
          <w:jc w:val="center"/>
        </w:trPr>
        <w:tc>
          <w:tcPr>
            <w:tcW w:w="1447" w:type="dxa"/>
            <w:shd w:val="clear" w:color="auto" w:fill="FFFFFF"/>
            <w:vAlign w:val="bottom"/>
          </w:tcPr>
          <w:p w14:paraId="2A009D66"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C3</w:t>
            </w:r>
          </w:p>
        </w:tc>
        <w:tc>
          <w:tcPr>
            <w:tcW w:w="1134" w:type="dxa"/>
            <w:shd w:val="clear" w:color="auto" w:fill="FFFFFF"/>
            <w:vAlign w:val="bottom"/>
          </w:tcPr>
          <w:p w14:paraId="74A31556"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$812.90</w:t>
            </w:r>
          </w:p>
        </w:tc>
        <w:tc>
          <w:tcPr>
            <w:tcW w:w="1134" w:type="dxa"/>
            <w:vAlign w:val="bottom"/>
          </w:tcPr>
          <w:p w14:paraId="2F7688CB"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1058.60</w:t>
            </w:r>
          </w:p>
        </w:tc>
        <w:tc>
          <w:tcPr>
            <w:tcW w:w="1134" w:type="dxa"/>
            <w:tcBorders>
              <w:top w:val="nil"/>
              <w:left w:val="nil"/>
              <w:bottom w:val="single" w:sz="8" w:space="0" w:color="auto"/>
              <w:right w:val="single" w:sz="8" w:space="0" w:color="auto"/>
            </w:tcBorders>
            <w:shd w:val="clear" w:color="auto" w:fill="auto"/>
            <w:vAlign w:val="bottom"/>
          </w:tcPr>
          <w:p w14:paraId="716A93A8"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$245.70</w:t>
            </w:r>
          </w:p>
        </w:tc>
        <w:tc>
          <w:tcPr>
            <w:tcW w:w="1134" w:type="dxa"/>
            <w:tcBorders>
              <w:top w:val="nil"/>
              <w:left w:val="nil"/>
              <w:bottom w:val="single" w:sz="8" w:space="0" w:color="auto"/>
              <w:right w:val="single" w:sz="8" w:space="0" w:color="auto"/>
            </w:tcBorders>
            <w:shd w:val="clear" w:color="auto" w:fill="auto"/>
            <w:vAlign w:val="bottom"/>
          </w:tcPr>
          <w:p w14:paraId="20AF91EA"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30.23%</w:t>
            </w:r>
          </w:p>
        </w:tc>
        <w:tc>
          <w:tcPr>
            <w:tcW w:w="1275" w:type="dxa"/>
            <w:tcBorders>
              <w:top w:val="nil"/>
              <w:left w:val="nil"/>
              <w:bottom w:val="single" w:sz="8" w:space="0" w:color="auto"/>
              <w:right w:val="single" w:sz="8" w:space="0" w:color="auto"/>
            </w:tcBorders>
            <w:shd w:val="clear" w:color="auto" w:fill="auto"/>
            <w:vAlign w:val="bottom"/>
          </w:tcPr>
          <w:p w14:paraId="0A7D777B"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6.36%</w:t>
            </w:r>
          </w:p>
        </w:tc>
      </w:tr>
      <w:tr w:rsidR="005A2CE4" w:rsidRPr="00AC29D9" w14:paraId="7725A32D" w14:textId="77777777" w:rsidTr="00151D1D">
        <w:trPr>
          <w:trHeight w:val="330"/>
          <w:jc w:val="center"/>
        </w:trPr>
        <w:tc>
          <w:tcPr>
            <w:tcW w:w="1447" w:type="dxa"/>
            <w:shd w:val="clear" w:color="auto" w:fill="FFFFFF"/>
            <w:vAlign w:val="bottom"/>
          </w:tcPr>
          <w:p w14:paraId="3CA04A7D"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C2(a)</w:t>
            </w:r>
          </w:p>
        </w:tc>
        <w:tc>
          <w:tcPr>
            <w:tcW w:w="1134" w:type="dxa"/>
            <w:shd w:val="clear" w:color="auto" w:fill="FFFFFF"/>
            <w:vAlign w:val="bottom"/>
          </w:tcPr>
          <w:p w14:paraId="6C56633E"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$833.80</w:t>
            </w:r>
          </w:p>
        </w:tc>
        <w:tc>
          <w:tcPr>
            <w:tcW w:w="1134" w:type="dxa"/>
            <w:vAlign w:val="bottom"/>
          </w:tcPr>
          <w:p w14:paraId="492A2674"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1085.00</w:t>
            </w:r>
          </w:p>
        </w:tc>
        <w:tc>
          <w:tcPr>
            <w:tcW w:w="1134" w:type="dxa"/>
            <w:tcBorders>
              <w:top w:val="nil"/>
              <w:left w:val="nil"/>
              <w:bottom w:val="single" w:sz="8" w:space="0" w:color="auto"/>
              <w:right w:val="single" w:sz="8" w:space="0" w:color="auto"/>
            </w:tcBorders>
            <w:shd w:val="clear" w:color="auto" w:fill="auto"/>
            <w:vAlign w:val="bottom"/>
          </w:tcPr>
          <w:p w14:paraId="7111FD64"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$251.20</w:t>
            </w:r>
          </w:p>
        </w:tc>
        <w:tc>
          <w:tcPr>
            <w:tcW w:w="1134" w:type="dxa"/>
            <w:tcBorders>
              <w:top w:val="nil"/>
              <w:left w:val="nil"/>
              <w:bottom w:val="single" w:sz="8" w:space="0" w:color="auto"/>
              <w:right w:val="single" w:sz="8" w:space="0" w:color="auto"/>
            </w:tcBorders>
            <w:shd w:val="clear" w:color="auto" w:fill="auto"/>
            <w:vAlign w:val="bottom"/>
          </w:tcPr>
          <w:p w14:paraId="5A32C995"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30.13%</w:t>
            </w:r>
          </w:p>
        </w:tc>
        <w:tc>
          <w:tcPr>
            <w:tcW w:w="1275" w:type="dxa"/>
            <w:tcBorders>
              <w:top w:val="nil"/>
              <w:left w:val="nil"/>
              <w:bottom w:val="single" w:sz="8" w:space="0" w:color="auto"/>
              <w:right w:val="single" w:sz="8" w:space="0" w:color="auto"/>
            </w:tcBorders>
            <w:shd w:val="clear" w:color="auto" w:fill="auto"/>
            <w:vAlign w:val="bottom"/>
          </w:tcPr>
          <w:p w14:paraId="696C3477"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6.28%</w:t>
            </w:r>
          </w:p>
        </w:tc>
      </w:tr>
      <w:tr w:rsidR="005A2CE4" w:rsidRPr="00AC29D9" w14:paraId="7C99209F" w14:textId="77777777" w:rsidTr="00151D1D">
        <w:trPr>
          <w:trHeight w:val="319"/>
          <w:jc w:val="center"/>
        </w:trPr>
        <w:tc>
          <w:tcPr>
            <w:tcW w:w="1447" w:type="dxa"/>
            <w:shd w:val="clear" w:color="auto" w:fill="FFFFFF"/>
            <w:vAlign w:val="bottom"/>
          </w:tcPr>
          <w:p w14:paraId="79F1EF67" w14:textId="77777777" w:rsidR="005A2CE4" w:rsidRPr="00AC29D9" w:rsidRDefault="005A2CE4" w:rsidP="00151D1D">
            <w:pPr>
              <w:keepNext/>
              <w:keepLines/>
              <w:autoSpaceDE w:val="0"/>
              <w:autoSpaceDN w:val="0"/>
              <w:adjustRightInd w:val="0"/>
              <w:spacing w:before="20" w:after="20"/>
              <w:rPr>
                <w:rFonts w:ascii="Arial" w:hAnsi="Arial" w:cs="Arial"/>
                <w:sz w:val="20"/>
                <w:szCs w:val="20"/>
              </w:rPr>
            </w:pPr>
            <w:r w:rsidRPr="00AC29D9">
              <w:rPr>
                <w:rFonts w:ascii="Arial" w:hAnsi="Arial" w:cs="Arial"/>
                <w:sz w:val="20"/>
                <w:szCs w:val="20"/>
              </w:rPr>
              <w:t>C2(b)</w:t>
            </w:r>
          </w:p>
        </w:tc>
        <w:tc>
          <w:tcPr>
            <w:tcW w:w="1134" w:type="dxa"/>
            <w:shd w:val="clear" w:color="auto" w:fill="FFFFFF"/>
            <w:vAlign w:val="bottom"/>
          </w:tcPr>
          <w:p w14:paraId="517A3E93" w14:textId="77777777" w:rsidR="005A2CE4" w:rsidRPr="00AC29D9" w:rsidRDefault="005A2CE4" w:rsidP="00151D1D">
            <w:pPr>
              <w:keepNext/>
              <w:keepLines/>
              <w:autoSpaceDE w:val="0"/>
              <w:autoSpaceDN w:val="0"/>
              <w:spacing w:before="20" w:after="20"/>
              <w:jc w:val="right"/>
              <w:rPr>
                <w:rFonts w:ascii="Arial" w:hAnsi="Arial" w:cs="Arial"/>
                <w:sz w:val="20"/>
                <w:szCs w:val="20"/>
              </w:rPr>
            </w:pPr>
            <w:r>
              <w:rPr>
                <w:rFonts w:ascii="Arial" w:hAnsi="Arial" w:cs="Arial"/>
                <w:sz w:val="20"/>
                <w:szCs w:val="20"/>
                <w:lang w:eastAsia="en-US"/>
              </w:rPr>
              <w:t>$871.50</w:t>
            </w:r>
          </w:p>
        </w:tc>
        <w:tc>
          <w:tcPr>
            <w:tcW w:w="1134" w:type="dxa"/>
            <w:vAlign w:val="bottom"/>
          </w:tcPr>
          <w:p w14:paraId="59BF667E" w14:textId="77777777" w:rsidR="005A2CE4" w:rsidRPr="00AC29D9" w:rsidRDefault="005A2CE4" w:rsidP="00151D1D">
            <w:pPr>
              <w:keepNext/>
              <w:keepLines/>
              <w:autoSpaceDE w:val="0"/>
              <w:autoSpaceDN w:val="0"/>
              <w:spacing w:before="20" w:after="20"/>
              <w:jc w:val="right"/>
              <w:rPr>
                <w:rFonts w:ascii="Arial" w:hAnsi="Arial" w:cs="Arial"/>
                <w:sz w:val="20"/>
                <w:szCs w:val="20"/>
              </w:rPr>
            </w:pPr>
            <w:r w:rsidRPr="000362AE">
              <w:rPr>
                <w:rFonts w:ascii="Arial" w:hAnsi="Arial" w:cs="Arial"/>
                <w:color w:val="393E45"/>
                <w:sz w:val="20"/>
                <w:szCs w:val="20"/>
              </w:rPr>
              <w:t>$</w:t>
            </w:r>
            <w:r w:rsidRPr="009B7E68">
              <w:rPr>
                <w:rFonts w:ascii="Arial" w:hAnsi="Arial" w:cs="Arial"/>
                <w:color w:val="393E45"/>
                <w:sz w:val="20"/>
                <w:szCs w:val="20"/>
              </w:rPr>
              <w:t>1132.40</w:t>
            </w:r>
          </w:p>
        </w:tc>
        <w:tc>
          <w:tcPr>
            <w:tcW w:w="1134" w:type="dxa"/>
            <w:tcBorders>
              <w:top w:val="nil"/>
              <w:left w:val="nil"/>
              <w:bottom w:val="single" w:sz="8" w:space="0" w:color="auto"/>
              <w:right w:val="single" w:sz="8" w:space="0" w:color="auto"/>
            </w:tcBorders>
            <w:shd w:val="clear" w:color="auto" w:fill="auto"/>
            <w:vAlign w:val="bottom"/>
          </w:tcPr>
          <w:p w14:paraId="1ECBC87E"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$260.90</w:t>
            </w:r>
          </w:p>
        </w:tc>
        <w:tc>
          <w:tcPr>
            <w:tcW w:w="1134" w:type="dxa"/>
            <w:tcBorders>
              <w:top w:val="nil"/>
              <w:left w:val="nil"/>
              <w:bottom w:val="single" w:sz="8" w:space="0" w:color="auto"/>
              <w:right w:val="single" w:sz="8" w:space="0" w:color="auto"/>
            </w:tcBorders>
            <w:shd w:val="clear" w:color="auto" w:fill="auto"/>
            <w:vAlign w:val="bottom"/>
          </w:tcPr>
          <w:p w14:paraId="0AD73FA7"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29.94%</w:t>
            </w:r>
          </w:p>
        </w:tc>
        <w:tc>
          <w:tcPr>
            <w:tcW w:w="1275" w:type="dxa"/>
            <w:tcBorders>
              <w:top w:val="nil"/>
              <w:left w:val="nil"/>
              <w:bottom w:val="single" w:sz="8" w:space="0" w:color="auto"/>
              <w:right w:val="single" w:sz="8" w:space="0" w:color="auto"/>
            </w:tcBorders>
            <w:shd w:val="clear" w:color="auto" w:fill="auto"/>
            <w:vAlign w:val="bottom"/>
          </w:tcPr>
          <w:p w14:paraId="7EB18DC8" w14:textId="77777777" w:rsidR="005A2CE4" w:rsidRPr="00AC29D9" w:rsidRDefault="005A2CE4" w:rsidP="00151D1D">
            <w:pPr>
              <w:keepNext/>
              <w:keepLines/>
              <w:autoSpaceDE w:val="0"/>
              <w:autoSpaceDN w:val="0"/>
              <w:adjustRightInd w:val="0"/>
              <w:spacing w:before="20" w:after="20"/>
              <w:jc w:val="right"/>
              <w:rPr>
                <w:rFonts w:ascii="Arial" w:hAnsi="Arial" w:cs="Arial"/>
                <w:sz w:val="20"/>
                <w:szCs w:val="20"/>
              </w:rPr>
            </w:pPr>
            <w:r>
              <w:rPr>
                <w:rFonts w:ascii="Arial" w:hAnsi="Arial" w:cs="Arial"/>
                <w:color w:val="000000"/>
                <w:sz w:val="20"/>
                <w:szCs w:val="20"/>
              </w:rPr>
              <w:t>6.12%</w:t>
            </w:r>
          </w:p>
        </w:tc>
      </w:tr>
      <w:tr w:rsidR="005A2CE4" w:rsidRPr="00AC29D9" w14:paraId="5649CF46" w14:textId="77777777" w:rsidTr="00151D1D">
        <w:trPr>
          <w:trHeight w:val="315"/>
          <w:jc w:val="center"/>
        </w:trPr>
        <w:tc>
          <w:tcPr>
            <w:tcW w:w="1447" w:type="dxa"/>
            <w:shd w:val="clear" w:color="auto" w:fill="FFFFFF"/>
            <w:vAlign w:val="bottom"/>
          </w:tcPr>
          <w:p w14:paraId="1985746B" w14:textId="77777777" w:rsidR="005A2CE4" w:rsidRPr="00AC29D9" w:rsidRDefault="005A2CE4" w:rsidP="00151D1D">
            <w:pPr>
              <w:keepNext/>
              <w:keepLines/>
              <w:autoSpaceDE w:val="0"/>
              <w:autoSpaceDN w:val="0"/>
              <w:adjustRightInd w:val="0"/>
              <w:spacing w:before="20" w:after="20"/>
              <w:rPr>
                <w:rFonts w:ascii="Arial" w:hAnsi="Arial" w:cs="Arial"/>
                <w:b/>
                <w:sz w:val="20"/>
                <w:szCs w:val="20"/>
              </w:rPr>
            </w:pPr>
            <w:r w:rsidRPr="00AC29D9">
              <w:rPr>
                <w:rFonts w:ascii="Arial" w:hAnsi="Arial" w:cs="Arial"/>
                <w:b/>
                <w:sz w:val="20"/>
                <w:szCs w:val="20"/>
              </w:rPr>
              <w:t>AWOTE*</w:t>
            </w:r>
          </w:p>
        </w:tc>
        <w:tc>
          <w:tcPr>
            <w:tcW w:w="1134" w:type="dxa"/>
            <w:shd w:val="clear" w:color="auto" w:fill="FFFFFF"/>
            <w:vAlign w:val="bottom"/>
          </w:tcPr>
          <w:p w14:paraId="2FCFDBB4"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sidRPr="00AC29D9">
              <w:rPr>
                <w:rFonts w:ascii="Arial" w:hAnsi="Arial" w:cs="Arial"/>
                <w:b/>
                <w:bCs/>
                <w:color w:val="000000"/>
                <w:sz w:val="20"/>
                <w:szCs w:val="20"/>
              </w:rPr>
              <w:t>$</w:t>
            </w:r>
            <w:r>
              <w:rPr>
                <w:rFonts w:ascii="Arial" w:hAnsi="Arial" w:cs="Arial"/>
                <w:b/>
                <w:bCs/>
                <w:color w:val="000000"/>
                <w:sz w:val="20"/>
                <w:szCs w:val="20"/>
              </w:rPr>
              <w:t>1124.50</w:t>
            </w:r>
          </w:p>
        </w:tc>
        <w:tc>
          <w:tcPr>
            <w:tcW w:w="1134" w:type="dxa"/>
            <w:vAlign w:val="bottom"/>
          </w:tcPr>
          <w:p w14:paraId="542C5005"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sidRPr="00AC29D9">
              <w:rPr>
                <w:rFonts w:ascii="Arial" w:hAnsi="Arial" w:cs="Arial"/>
                <w:b/>
                <w:bCs/>
                <w:color w:val="000000"/>
                <w:sz w:val="20"/>
                <w:szCs w:val="20"/>
              </w:rPr>
              <w:t>$</w:t>
            </w:r>
            <w:r>
              <w:rPr>
                <w:rFonts w:ascii="Arial" w:hAnsi="Arial" w:cs="Arial"/>
                <w:b/>
                <w:bCs/>
                <w:color w:val="000000"/>
                <w:sz w:val="20"/>
                <w:szCs w:val="20"/>
              </w:rPr>
              <w:t>1586.20</w:t>
            </w:r>
          </w:p>
        </w:tc>
        <w:tc>
          <w:tcPr>
            <w:tcW w:w="1134" w:type="dxa"/>
            <w:tcBorders>
              <w:top w:val="nil"/>
              <w:left w:val="nil"/>
              <w:bottom w:val="single" w:sz="8" w:space="0" w:color="auto"/>
              <w:right w:val="single" w:sz="8" w:space="0" w:color="auto"/>
            </w:tcBorders>
            <w:shd w:val="clear" w:color="auto" w:fill="auto"/>
            <w:vAlign w:val="bottom"/>
          </w:tcPr>
          <w:p w14:paraId="4306C288"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sidRPr="00DC7741">
              <w:rPr>
                <w:rFonts w:ascii="Arial" w:hAnsi="Arial" w:cs="Arial"/>
                <w:b/>
                <w:color w:val="000000"/>
                <w:sz w:val="20"/>
                <w:szCs w:val="20"/>
              </w:rPr>
              <w:t>$461.70</w:t>
            </w:r>
          </w:p>
        </w:tc>
        <w:tc>
          <w:tcPr>
            <w:tcW w:w="1134" w:type="dxa"/>
            <w:tcBorders>
              <w:top w:val="nil"/>
              <w:left w:val="nil"/>
              <w:bottom w:val="single" w:sz="8" w:space="0" w:color="auto"/>
              <w:right w:val="single" w:sz="8" w:space="0" w:color="auto"/>
            </w:tcBorders>
            <w:shd w:val="clear" w:color="auto" w:fill="auto"/>
            <w:vAlign w:val="bottom"/>
          </w:tcPr>
          <w:p w14:paraId="7561B8C4"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sidRPr="00DC7741">
              <w:rPr>
                <w:rFonts w:ascii="Arial" w:hAnsi="Arial" w:cs="Arial"/>
                <w:b/>
                <w:color w:val="000000"/>
                <w:sz w:val="20"/>
                <w:szCs w:val="20"/>
              </w:rPr>
              <w:t>41.06%</w:t>
            </w:r>
          </w:p>
        </w:tc>
        <w:tc>
          <w:tcPr>
            <w:tcW w:w="1275" w:type="dxa"/>
            <w:tcBorders>
              <w:top w:val="nil"/>
              <w:left w:val="nil"/>
              <w:bottom w:val="single" w:sz="8" w:space="0" w:color="auto"/>
              <w:right w:val="single" w:sz="8" w:space="0" w:color="auto"/>
            </w:tcBorders>
            <w:shd w:val="clear" w:color="auto" w:fill="auto"/>
            <w:vAlign w:val="bottom"/>
          </w:tcPr>
          <w:p w14:paraId="40FA1D7B"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sidRPr="00DC7741">
              <w:rPr>
                <w:rFonts w:ascii="Arial" w:hAnsi="Arial" w:cs="Arial"/>
                <w:b/>
                <w:color w:val="000000"/>
                <w:sz w:val="20"/>
                <w:szCs w:val="20"/>
              </w:rPr>
              <w:t>15.21%</w:t>
            </w:r>
          </w:p>
        </w:tc>
      </w:tr>
      <w:tr w:rsidR="005A2CE4" w:rsidRPr="00005289" w14:paraId="179AA927" w14:textId="77777777" w:rsidTr="00151D1D">
        <w:trPr>
          <w:trHeight w:val="315"/>
          <w:jc w:val="center"/>
        </w:trPr>
        <w:tc>
          <w:tcPr>
            <w:tcW w:w="1447" w:type="dxa"/>
            <w:shd w:val="clear" w:color="auto" w:fill="FFFFFF"/>
            <w:vAlign w:val="bottom"/>
          </w:tcPr>
          <w:p w14:paraId="68A1973B" w14:textId="77777777" w:rsidR="005A2CE4" w:rsidRPr="00AC29D9" w:rsidRDefault="005A2CE4" w:rsidP="00151D1D">
            <w:pPr>
              <w:keepNext/>
              <w:keepLines/>
              <w:autoSpaceDE w:val="0"/>
              <w:autoSpaceDN w:val="0"/>
              <w:adjustRightInd w:val="0"/>
              <w:spacing w:before="20" w:after="20"/>
              <w:rPr>
                <w:rFonts w:ascii="Arial" w:hAnsi="Arial" w:cs="Arial"/>
                <w:b/>
                <w:sz w:val="20"/>
                <w:szCs w:val="20"/>
              </w:rPr>
            </w:pPr>
            <w:r w:rsidRPr="00AC29D9">
              <w:rPr>
                <w:rFonts w:ascii="Arial" w:hAnsi="Arial" w:cs="Arial"/>
                <w:b/>
                <w:sz w:val="20"/>
                <w:szCs w:val="20"/>
              </w:rPr>
              <w:t>WPI**:</w:t>
            </w:r>
          </w:p>
          <w:p w14:paraId="1A33945E" w14:textId="77777777" w:rsidR="005A2CE4" w:rsidRPr="00AC29D9" w:rsidRDefault="005A2CE4" w:rsidP="00151D1D">
            <w:pPr>
              <w:keepNext/>
              <w:keepLines/>
              <w:autoSpaceDE w:val="0"/>
              <w:autoSpaceDN w:val="0"/>
              <w:adjustRightInd w:val="0"/>
              <w:spacing w:before="20" w:after="20"/>
              <w:rPr>
                <w:rFonts w:ascii="Arial" w:hAnsi="Arial" w:cs="Arial"/>
                <w:b/>
                <w:sz w:val="20"/>
                <w:szCs w:val="20"/>
              </w:rPr>
            </w:pPr>
            <w:r w:rsidRPr="00AC29D9">
              <w:rPr>
                <w:rFonts w:ascii="Arial" w:hAnsi="Arial" w:cs="Arial"/>
                <w:b/>
                <w:sz w:val="20"/>
                <w:szCs w:val="20"/>
              </w:rPr>
              <w:t>Australia</w:t>
            </w:r>
          </w:p>
          <w:p w14:paraId="47CF9D22" w14:textId="77777777" w:rsidR="005A2CE4" w:rsidRPr="00AC29D9" w:rsidRDefault="005A2CE4" w:rsidP="0050682D">
            <w:pPr>
              <w:keepNext/>
              <w:keepLines/>
              <w:autoSpaceDE w:val="0"/>
              <w:autoSpaceDN w:val="0"/>
              <w:adjustRightInd w:val="0"/>
              <w:spacing w:before="20" w:after="20"/>
              <w:rPr>
                <w:rFonts w:ascii="Arial" w:hAnsi="Arial" w:cs="Arial"/>
                <w:b/>
                <w:sz w:val="20"/>
                <w:szCs w:val="20"/>
              </w:rPr>
            </w:pPr>
            <w:r w:rsidRPr="00AC29D9">
              <w:rPr>
                <w:rFonts w:ascii="Arial" w:hAnsi="Arial" w:cs="Arial"/>
                <w:b/>
                <w:sz w:val="20"/>
                <w:szCs w:val="20"/>
              </w:rPr>
              <w:t>Queensland</w:t>
            </w:r>
          </w:p>
        </w:tc>
        <w:tc>
          <w:tcPr>
            <w:tcW w:w="1134" w:type="dxa"/>
            <w:shd w:val="clear" w:color="auto" w:fill="FFFFFF"/>
            <w:vAlign w:val="bottom"/>
          </w:tcPr>
          <w:p w14:paraId="02CC0A08" w14:textId="77777777" w:rsidR="005A2CE4"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98.7</w:t>
            </w:r>
          </w:p>
          <w:p w14:paraId="68A97EDD"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98.6</w:t>
            </w:r>
          </w:p>
        </w:tc>
        <w:tc>
          <w:tcPr>
            <w:tcW w:w="1134" w:type="dxa"/>
            <w:vAlign w:val="bottom"/>
          </w:tcPr>
          <w:p w14:paraId="4974D9B3" w14:textId="77777777" w:rsidR="005A2CE4"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129.7</w:t>
            </w:r>
          </w:p>
          <w:p w14:paraId="22D08AB6"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129.9</w:t>
            </w:r>
          </w:p>
        </w:tc>
        <w:tc>
          <w:tcPr>
            <w:tcW w:w="1134" w:type="dxa"/>
            <w:vAlign w:val="bottom"/>
          </w:tcPr>
          <w:p w14:paraId="35662410"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p>
        </w:tc>
        <w:tc>
          <w:tcPr>
            <w:tcW w:w="1134" w:type="dxa"/>
            <w:vAlign w:val="bottom"/>
          </w:tcPr>
          <w:p w14:paraId="2A823947" w14:textId="77777777" w:rsidR="005A2CE4"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31.41</w:t>
            </w:r>
          </w:p>
          <w:p w14:paraId="60DC2CDC"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31.74</w:t>
            </w:r>
          </w:p>
        </w:tc>
        <w:tc>
          <w:tcPr>
            <w:tcW w:w="1275" w:type="dxa"/>
            <w:vAlign w:val="bottom"/>
          </w:tcPr>
          <w:p w14:paraId="79B1EC7A" w14:textId="77777777" w:rsidR="005A2CE4"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7.33</w:t>
            </w:r>
          </w:p>
          <w:p w14:paraId="39CA0E7D" w14:textId="77777777" w:rsidR="005A2CE4" w:rsidRPr="00AC29D9" w:rsidRDefault="005A2CE4" w:rsidP="00151D1D">
            <w:pPr>
              <w:keepNext/>
              <w:keepLines/>
              <w:autoSpaceDE w:val="0"/>
              <w:autoSpaceDN w:val="0"/>
              <w:adjustRightInd w:val="0"/>
              <w:spacing w:before="20" w:after="20"/>
              <w:jc w:val="right"/>
              <w:rPr>
                <w:rFonts w:ascii="Arial" w:hAnsi="Arial" w:cs="Arial"/>
                <w:b/>
                <w:sz w:val="20"/>
                <w:szCs w:val="20"/>
              </w:rPr>
            </w:pPr>
            <w:r>
              <w:rPr>
                <w:rFonts w:ascii="Arial" w:hAnsi="Arial" w:cs="Arial"/>
                <w:b/>
                <w:sz w:val="20"/>
                <w:szCs w:val="20"/>
              </w:rPr>
              <w:t>7.60</w:t>
            </w:r>
          </w:p>
        </w:tc>
      </w:tr>
    </w:tbl>
    <w:p w14:paraId="23580B8C" w14:textId="77777777" w:rsidR="005A2CE4" w:rsidRPr="00386099" w:rsidRDefault="005A2CE4" w:rsidP="005A2CE4">
      <w:pPr>
        <w:keepNext/>
        <w:keepLines/>
        <w:tabs>
          <w:tab w:val="left" w:pos="540"/>
          <w:tab w:val="left" w:pos="900"/>
        </w:tabs>
        <w:autoSpaceDE w:val="0"/>
        <w:autoSpaceDN w:val="0"/>
        <w:jc w:val="both"/>
        <w:rPr>
          <w:rFonts w:ascii="Arial" w:hAnsi="Arial" w:cs="Arial"/>
          <w:sz w:val="16"/>
          <w:szCs w:val="16"/>
        </w:rPr>
      </w:pPr>
      <w:r w:rsidRPr="00386099">
        <w:rPr>
          <w:rFonts w:ascii="Arial" w:hAnsi="Arial" w:cs="Arial"/>
          <w:sz w:val="16"/>
          <w:szCs w:val="16"/>
        </w:rPr>
        <w:tab/>
        <w:t>*AWOTE based on June 200</w:t>
      </w:r>
      <w:r>
        <w:rPr>
          <w:rFonts w:ascii="Arial" w:hAnsi="Arial" w:cs="Arial"/>
          <w:sz w:val="16"/>
          <w:szCs w:val="16"/>
        </w:rPr>
        <w:t>8</w:t>
      </w:r>
      <w:r w:rsidRPr="00386099">
        <w:rPr>
          <w:rFonts w:ascii="Arial" w:hAnsi="Arial" w:cs="Arial"/>
          <w:sz w:val="16"/>
          <w:szCs w:val="16"/>
        </w:rPr>
        <w:t xml:space="preserve"> and June 201</w:t>
      </w:r>
      <w:r>
        <w:rPr>
          <w:rFonts w:ascii="Arial" w:hAnsi="Arial" w:cs="Arial"/>
          <w:sz w:val="16"/>
          <w:szCs w:val="16"/>
        </w:rPr>
        <w:t>8</w:t>
      </w:r>
    </w:p>
    <w:p w14:paraId="03BFAD30" w14:textId="77777777" w:rsidR="005A2CE4" w:rsidRPr="00386099" w:rsidRDefault="005A2CE4" w:rsidP="005A2CE4">
      <w:pPr>
        <w:keepNext/>
        <w:keepLines/>
        <w:tabs>
          <w:tab w:val="left" w:pos="540"/>
          <w:tab w:val="left" w:pos="900"/>
        </w:tabs>
        <w:autoSpaceDE w:val="0"/>
        <w:autoSpaceDN w:val="0"/>
        <w:ind w:left="567" w:hanging="567"/>
        <w:jc w:val="both"/>
        <w:rPr>
          <w:rFonts w:ascii="Arial" w:hAnsi="Arial" w:cs="Arial"/>
          <w:sz w:val="16"/>
          <w:szCs w:val="16"/>
        </w:rPr>
      </w:pPr>
      <w:r w:rsidRPr="00386099">
        <w:rPr>
          <w:rFonts w:ascii="Arial" w:hAnsi="Arial" w:cs="Arial"/>
          <w:sz w:val="16"/>
          <w:szCs w:val="16"/>
        </w:rPr>
        <w:tab/>
        <w:t xml:space="preserve">** Wage-Price Index refers to Ordinary time hourly rates of pay excluding bonuses; </w:t>
      </w:r>
      <w:r>
        <w:rPr>
          <w:rFonts w:ascii="Arial" w:hAnsi="Arial" w:cs="Arial"/>
          <w:sz w:val="16"/>
          <w:szCs w:val="16"/>
        </w:rPr>
        <w:t>September</w:t>
      </w:r>
      <w:r w:rsidRPr="00386099">
        <w:rPr>
          <w:rFonts w:ascii="Arial" w:hAnsi="Arial" w:cs="Arial"/>
          <w:sz w:val="16"/>
          <w:szCs w:val="16"/>
        </w:rPr>
        <w:t xml:space="preserve"> 200</w:t>
      </w:r>
      <w:r>
        <w:rPr>
          <w:rFonts w:ascii="Arial" w:hAnsi="Arial" w:cs="Arial"/>
          <w:sz w:val="16"/>
          <w:szCs w:val="16"/>
        </w:rPr>
        <w:t>8</w:t>
      </w:r>
      <w:r w:rsidRPr="00386099">
        <w:rPr>
          <w:rFonts w:ascii="Arial" w:hAnsi="Arial" w:cs="Arial"/>
          <w:sz w:val="16"/>
          <w:szCs w:val="16"/>
        </w:rPr>
        <w:t xml:space="preserve"> and </w:t>
      </w:r>
      <w:r>
        <w:rPr>
          <w:rFonts w:ascii="Arial" w:hAnsi="Arial" w:cs="Arial"/>
          <w:sz w:val="16"/>
          <w:szCs w:val="16"/>
        </w:rPr>
        <w:t>September</w:t>
      </w:r>
      <w:r w:rsidRPr="00386099">
        <w:rPr>
          <w:rFonts w:ascii="Arial" w:hAnsi="Arial" w:cs="Arial"/>
          <w:sz w:val="16"/>
          <w:szCs w:val="16"/>
        </w:rPr>
        <w:t xml:space="preserve"> 20</w:t>
      </w:r>
      <w:r>
        <w:rPr>
          <w:rFonts w:ascii="Arial" w:hAnsi="Arial" w:cs="Arial"/>
          <w:sz w:val="16"/>
          <w:szCs w:val="16"/>
        </w:rPr>
        <w:t>18</w:t>
      </w:r>
      <w:r w:rsidRPr="00386099">
        <w:rPr>
          <w:rFonts w:ascii="Arial" w:hAnsi="Arial" w:cs="Arial"/>
          <w:sz w:val="16"/>
          <w:szCs w:val="16"/>
        </w:rPr>
        <w:t xml:space="preserve">. </w:t>
      </w:r>
    </w:p>
    <w:p w14:paraId="6B63CE2C" w14:textId="77777777" w:rsidR="005A2CE4" w:rsidRPr="00386099" w:rsidRDefault="005A2CE4" w:rsidP="005A2CE4">
      <w:pPr>
        <w:keepNext/>
        <w:keepLines/>
        <w:tabs>
          <w:tab w:val="left" w:pos="540"/>
          <w:tab w:val="left" w:pos="900"/>
        </w:tabs>
        <w:autoSpaceDE w:val="0"/>
        <w:autoSpaceDN w:val="0"/>
        <w:ind w:left="540"/>
        <w:jc w:val="both"/>
        <w:rPr>
          <w:rFonts w:ascii="Arial" w:hAnsi="Arial" w:cs="Arial"/>
          <w:sz w:val="16"/>
          <w:szCs w:val="16"/>
        </w:rPr>
      </w:pPr>
      <w:r w:rsidRPr="00386099">
        <w:rPr>
          <w:rFonts w:ascii="Arial" w:hAnsi="Arial" w:cs="Arial"/>
          <w:sz w:val="16"/>
          <w:szCs w:val="16"/>
        </w:rPr>
        <w:t xml:space="preserve">Sources: ABS, </w:t>
      </w:r>
      <w:r w:rsidRPr="00386099">
        <w:rPr>
          <w:rFonts w:ascii="Arial" w:hAnsi="Arial" w:cs="Arial"/>
          <w:i/>
          <w:sz w:val="16"/>
          <w:szCs w:val="16"/>
        </w:rPr>
        <w:t>Average Weekly Earnings</w:t>
      </w:r>
      <w:r w:rsidRPr="00386099">
        <w:rPr>
          <w:rFonts w:ascii="Arial" w:hAnsi="Arial" w:cs="Arial"/>
          <w:sz w:val="16"/>
          <w:szCs w:val="16"/>
        </w:rPr>
        <w:t xml:space="preserve">, cat.  6302.0; ABS, </w:t>
      </w:r>
      <w:r w:rsidRPr="00386099">
        <w:rPr>
          <w:rFonts w:ascii="Arial" w:hAnsi="Arial" w:cs="Arial"/>
          <w:i/>
          <w:sz w:val="16"/>
          <w:szCs w:val="16"/>
        </w:rPr>
        <w:t>Wage Price Index</w:t>
      </w:r>
      <w:r w:rsidRPr="00386099">
        <w:rPr>
          <w:rFonts w:ascii="Arial" w:hAnsi="Arial" w:cs="Arial"/>
          <w:sz w:val="16"/>
          <w:szCs w:val="16"/>
        </w:rPr>
        <w:t xml:space="preserve">, cat. 6345.0; Award rates: </w:t>
      </w:r>
      <w:r w:rsidRPr="00386099">
        <w:rPr>
          <w:rFonts w:ascii="Arial" w:hAnsi="Arial" w:cs="Arial"/>
          <w:sz w:val="16"/>
          <w:szCs w:val="16"/>
          <w:lang w:eastAsia="en-US"/>
        </w:rPr>
        <w:t xml:space="preserve">Metal, Engineering and Associated Industries Award, 1998 (increase operative December 2006) and </w:t>
      </w:r>
      <w:r w:rsidRPr="00386099">
        <w:rPr>
          <w:rFonts w:ascii="Arial" w:hAnsi="Arial" w:cs="Arial"/>
          <w:bCs/>
          <w:sz w:val="16"/>
          <w:szCs w:val="16"/>
        </w:rPr>
        <w:t>Manufacturing and Associated Industries and Occupations Award 2010</w:t>
      </w:r>
      <w:r w:rsidRPr="00386099">
        <w:rPr>
          <w:bCs/>
        </w:rPr>
        <w:t xml:space="preserve"> </w:t>
      </w:r>
    </w:p>
    <w:p w14:paraId="6EE94F9D" w14:textId="77777777" w:rsidR="005A2CE4" w:rsidRPr="00A0795B" w:rsidRDefault="005A2CE4" w:rsidP="005A2CE4">
      <w:pPr>
        <w:autoSpaceDE w:val="0"/>
        <w:autoSpaceDN w:val="0"/>
        <w:adjustRightInd w:val="0"/>
        <w:rPr>
          <w:rFonts w:eastAsiaTheme="minorHAnsi"/>
          <w:color w:val="000000"/>
          <w:highlight w:val="yellow"/>
          <w:lang w:eastAsia="en-US"/>
        </w:rPr>
      </w:pPr>
    </w:p>
    <w:p w14:paraId="07A02DF4" w14:textId="69EF024F" w:rsidR="005A2CE4" w:rsidRDefault="005A2CE4" w:rsidP="00CF02D7">
      <w:pPr>
        <w:pStyle w:val="NWCbodytextArial11ptJustified"/>
      </w:pPr>
      <w:r w:rsidRPr="00131079">
        <w:t>Moreover, the growth in the minimum wage and award rates of pay has not kept pace with the growth in earnings a</w:t>
      </w:r>
      <w:r w:rsidR="00B00A90">
        <w:t xml:space="preserve">cross the workforce generally. </w:t>
      </w:r>
      <w:r w:rsidRPr="00131079">
        <w:t>As Table 2 above shows, ove</w:t>
      </w:r>
      <w:r w:rsidR="00CF02D7">
        <w:t>r the 10-</w:t>
      </w:r>
      <w:r w:rsidRPr="00131079">
        <w:t>year period June 200</w:t>
      </w:r>
      <w:r w:rsidR="00AE79D9">
        <w:t>8</w:t>
      </w:r>
      <w:r w:rsidRPr="00131079">
        <w:t xml:space="preserve"> to June 201</w:t>
      </w:r>
      <w:r w:rsidR="00AE79D9">
        <w:t>8</w:t>
      </w:r>
      <w:r w:rsidRPr="00131079">
        <w:t xml:space="preserve">, the Average Weekly Ordinary Time Earnings (AWOTE) increased by </w:t>
      </w:r>
      <w:r>
        <w:t>41.06</w:t>
      </w:r>
      <w:r w:rsidRPr="00131079">
        <w:t>%, or 1</w:t>
      </w:r>
      <w:r>
        <w:t>5</w:t>
      </w:r>
      <w:r w:rsidRPr="00131079">
        <w:t>.</w:t>
      </w:r>
      <w:r>
        <w:t>21</w:t>
      </w:r>
      <w:r w:rsidRPr="00131079">
        <w:t xml:space="preserve">% in real terms, compared with an increase of only </w:t>
      </w:r>
      <w:r>
        <w:t>31.34</w:t>
      </w:r>
      <w:r w:rsidRPr="00131079">
        <w:t xml:space="preserve">%, or </w:t>
      </w:r>
      <w:r>
        <w:t>7.27</w:t>
      </w:r>
      <w:r w:rsidRPr="00131079">
        <w:t>% in real terms, to the benchmark C10 tradesperson rate in the manufacturing award</w:t>
      </w:r>
      <w:r w:rsidRPr="00131079">
        <w:rPr>
          <w:rStyle w:val="FootnoteReference"/>
        </w:rPr>
        <w:footnoteReference w:id="23"/>
      </w:r>
      <w:r w:rsidRPr="00131079">
        <w:t xml:space="preserve">. </w:t>
      </w:r>
      <w:r>
        <w:t xml:space="preserve"> </w:t>
      </w:r>
      <w:r w:rsidRPr="00131079">
        <w:t xml:space="preserve">AWOTE may be influenced by compositional changes – the Australian Bureau of Statistics (ABS) wage-price index may provide a better measure of overall wage movements, abstracting from compositional changes. While this comparison is less dramatic, it is still evident that the C10 benchmark real increase of </w:t>
      </w:r>
      <w:r>
        <w:t>7.27</w:t>
      </w:r>
      <w:r w:rsidRPr="00131079">
        <w:t xml:space="preserve">% over the period is </w:t>
      </w:r>
      <w:r>
        <w:t xml:space="preserve">marginally </w:t>
      </w:r>
      <w:r w:rsidRPr="00131079">
        <w:t xml:space="preserve">below the real increase in the ordinary-time wage-price index of </w:t>
      </w:r>
      <w:r>
        <w:t>7.33</w:t>
      </w:r>
      <w:r w:rsidRPr="00131079">
        <w:t xml:space="preserve">%. </w:t>
      </w:r>
      <w:r>
        <w:t xml:space="preserve">Increasing </w:t>
      </w:r>
      <w:r w:rsidRPr="00131079">
        <w:t>the real value of wages</w:t>
      </w:r>
      <w:r>
        <w:t xml:space="preserve"> in line with productivity growth</w:t>
      </w:r>
      <w:r w:rsidRPr="00131079">
        <w:t xml:space="preserve"> sh</w:t>
      </w:r>
      <w:r w:rsidR="00B00A90">
        <w:t xml:space="preserve">ould be a threshold benchmark. </w:t>
      </w:r>
      <w:r>
        <w:t>Labour productivity, real GDP per hour worked, has increased 13.6% in the 10 years to 2018.</w:t>
      </w:r>
    </w:p>
    <w:p w14:paraId="739D3D2F" w14:textId="1F270772" w:rsidR="00607105" w:rsidRDefault="00607105" w:rsidP="00607105">
      <w:pPr>
        <w:spacing w:before="240" w:after="240" w:line="360" w:lineRule="auto"/>
        <w:jc w:val="both"/>
        <w:rPr>
          <w:rFonts w:ascii="Arial" w:hAnsi="Arial" w:cs="Arial"/>
          <w:sz w:val="22"/>
          <w:szCs w:val="22"/>
        </w:rPr>
      </w:pPr>
      <w:r>
        <w:rPr>
          <w:rFonts w:ascii="Arial" w:hAnsi="Arial" w:cs="Arial"/>
          <w:sz w:val="22"/>
          <w:szCs w:val="22"/>
        </w:rPr>
        <w:t>Given the recent trend towards increased reliance on modern award minimum wage rates, i</w:t>
      </w:r>
      <w:r w:rsidRPr="00D30540">
        <w:rPr>
          <w:rFonts w:ascii="Arial" w:hAnsi="Arial" w:cs="Arial"/>
          <w:sz w:val="22"/>
          <w:szCs w:val="22"/>
        </w:rPr>
        <w:t xml:space="preserve">t is incumbent </w:t>
      </w:r>
      <w:r>
        <w:rPr>
          <w:rFonts w:ascii="Arial" w:hAnsi="Arial" w:cs="Arial"/>
          <w:sz w:val="22"/>
          <w:szCs w:val="22"/>
        </w:rPr>
        <w:t>up</w:t>
      </w:r>
      <w:r w:rsidRPr="00D30540">
        <w:rPr>
          <w:rFonts w:ascii="Arial" w:hAnsi="Arial" w:cs="Arial"/>
          <w:sz w:val="22"/>
          <w:szCs w:val="22"/>
        </w:rPr>
        <w:t>o</w:t>
      </w:r>
      <w:r>
        <w:rPr>
          <w:rFonts w:ascii="Arial" w:hAnsi="Arial" w:cs="Arial"/>
          <w:sz w:val="22"/>
          <w:szCs w:val="22"/>
        </w:rPr>
        <w:t xml:space="preserve">n the Panel to set rates of pay through the AWR </w:t>
      </w:r>
      <w:r w:rsidRPr="00D30540">
        <w:rPr>
          <w:rFonts w:ascii="Arial" w:hAnsi="Arial" w:cs="Arial"/>
          <w:sz w:val="22"/>
          <w:szCs w:val="22"/>
        </w:rPr>
        <w:t xml:space="preserve">that are </w:t>
      </w:r>
      <w:r>
        <w:rPr>
          <w:rFonts w:ascii="Arial" w:hAnsi="Arial" w:cs="Arial"/>
          <w:sz w:val="22"/>
          <w:szCs w:val="22"/>
        </w:rPr>
        <w:t>‘</w:t>
      </w:r>
      <w:r w:rsidRPr="00D30540">
        <w:rPr>
          <w:rFonts w:ascii="Arial" w:hAnsi="Arial" w:cs="Arial"/>
          <w:sz w:val="22"/>
          <w:szCs w:val="22"/>
        </w:rPr>
        <w:t xml:space="preserve">fair </w:t>
      </w:r>
      <w:r>
        <w:rPr>
          <w:rFonts w:ascii="Arial" w:hAnsi="Arial" w:cs="Arial"/>
          <w:sz w:val="22"/>
          <w:szCs w:val="22"/>
        </w:rPr>
        <w:t xml:space="preserve">and relevant’ </w:t>
      </w:r>
      <w:r w:rsidRPr="00D30540">
        <w:rPr>
          <w:rFonts w:ascii="Arial" w:hAnsi="Arial" w:cs="Arial"/>
          <w:sz w:val="22"/>
          <w:szCs w:val="22"/>
        </w:rPr>
        <w:t>in the context</w:t>
      </w:r>
      <w:r>
        <w:rPr>
          <w:rFonts w:ascii="Arial" w:hAnsi="Arial" w:cs="Arial"/>
          <w:sz w:val="22"/>
          <w:szCs w:val="22"/>
        </w:rPr>
        <w:t xml:space="preserve"> of living standards and the needs of the low paid. </w:t>
      </w:r>
    </w:p>
    <w:p w14:paraId="6FFE364A" w14:textId="77777777" w:rsidR="001D5949" w:rsidRPr="001D5949" w:rsidRDefault="001D5949" w:rsidP="00B00A90">
      <w:pPr>
        <w:pStyle w:val="Heading1"/>
        <w:jc w:val="both"/>
        <w:rPr>
          <w:rFonts w:ascii="Arial" w:hAnsi="Arial" w:cs="Arial"/>
        </w:rPr>
      </w:pPr>
      <w:bookmarkStart w:id="23" w:name="_Toc442256142"/>
      <w:bookmarkStart w:id="24" w:name="_Toc2688652"/>
      <w:bookmarkEnd w:id="15"/>
      <w:bookmarkEnd w:id="16"/>
      <w:bookmarkEnd w:id="17"/>
      <w:r w:rsidRPr="001D5949">
        <w:rPr>
          <w:rFonts w:ascii="Arial" w:hAnsi="Arial" w:cs="Arial"/>
        </w:rPr>
        <w:t xml:space="preserve">Equal </w:t>
      </w:r>
      <w:r w:rsidR="00447254">
        <w:rPr>
          <w:rFonts w:ascii="Arial" w:hAnsi="Arial" w:cs="Arial"/>
        </w:rPr>
        <w:t>r</w:t>
      </w:r>
      <w:r w:rsidRPr="001D5949">
        <w:rPr>
          <w:rFonts w:ascii="Arial" w:hAnsi="Arial" w:cs="Arial"/>
        </w:rPr>
        <w:t>emuneration</w:t>
      </w:r>
      <w:bookmarkEnd w:id="23"/>
      <w:bookmarkEnd w:id="24"/>
    </w:p>
    <w:p w14:paraId="0675A26F" w14:textId="196A0C39" w:rsidR="009147B5" w:rsidRPr="00B929AB" w:rsidRDefault="00553057" w:rsidP="00CF02D7">
      <w:pPr>
        <w:pStyle w:val="NWCbodytextArial11ptJustified"/>
      </w:pPr>
      <w:r w:rsidRPr="009147B5">
        <w:t>In last year’s FWC AW</w:t>
      </w:r>
      <w:r w:rsidR="00CF02D7">
        <w:t>R decision the Panel noted that</w:t>
      </w:r>
      <w:r w:rsidRPr="009147B5">
        <w:t xml:space="preserve"> </w:t>
      </w:r>
      <w:r w:rsidR="00984BCD">
        <w:t xml:space="preserve">a ‘relatively high’ proportion of women earn the </w:t>
      </w:r>
      <w:r w:rsidR="004018AA">
        <w:t>NMW</w:t>
      </w:r>
      <w:r w:rsidR="00E82E79" w:rsidRPr="00EF2F9D">
        <w:rPr>
          <w:vertAlign w:val="superscript"/>
        </w:rPr>
        <w:footnoteReference w:id="24"/>
      </w:r>
      <w:r w:rsidR="00984BCD">
        <w:t>;</w:t>
      </w:r>
      <w:r w:rsidR="004018AA">
        <w:t xml:space="preserve"> </w:t>
      </w:r>
      <w:r w:rsidR="00C83BCA">
        <w:t xml:space="preserve">that </w:t>
      </w:r>
      <w:r w:rsidR="00984BCD" w:rsidRPr="009147B5">
        <w:t xml:space="preserve">there continues to be more </w:t>
      </w:r>
      <w:r w:rsidR="00B929AB">
        <w:t xml:space="preserve">award reliant </w:t>
      </w:r>
      <w:r w:rsidR="003E5172" w:rsidRPr="009147B5">
        <w:t>w</w:t>
      </w:r>
      <w:r w:rsidRPr="009147B5">
        <w:t xml:space="preserve">omen </w:t>
      </w:r>
      <w:r w:rsidR="003E5172" w:rsidRPr="009147B5">
        <w:t>tha</w:t>
      </w:r>
      <w:r w:rsidR="009147B5" w:rsidRPr="009147B5">
        <w:t>n</w:t>
      </w:r>
      <w:r w:rsidR="003E5172" w:rsidRPr="009147B5">
        <w:t xml:space="preserve"> m</w:t>
      </w:r>
      <w:r w:rsidR="009147B5" w:rsidRPr="009147B5">
        <w:t>e</w:t>
      </w:r>
      <w:r w:rsidR="003E5172" w:rsidRPr="009147B5">
        <w:t>n</w:t>
      </w:r>
      <w:r w:rsidR="00C83BCA">
        <w:t>;</w:t>
      </w:r>
      <w:r w:rsidR="003E5172" w:rsidRPr="009147B5">
        <w:t xml:space="preserve"> </w:t>
      </w:r>
      <w:r w:rsidRPr="009147B5">
        <w:t xml:space="preserve">and </w:t>
      </w:r>
      <w:r w:rsidR="009147B5" w:rsidRPr="00B929AB">
        <w:t xml:space="preserve">it is more likely that award reliant employees will be </w:t>
      </w:r>
      <w:r w:rsidRPr="00B929AB">
        <w:t>low paid</w:t>
      </w:r>
      <w:r w:rsidR="009147B5" w:rsidRPr="00B929AB">
        <w:t xml:space="preserve"> than other employees</w:t>
      </w:r>
      <w:r w:rsidRPr="00B929AB">
        <w:t>.</w:t>
      </w:r>
      <w:r w:rsidR="00A22706" w:rsidRPr="00EF2F9D">
        <w:rPr>
          <w:vertAlign w:val="superscript"/>
        </w:rPr>
        <w:footnoteReference w:id="25"/>
      </w:r>
      <w:r w:rsidRPr="00B929AB">
        <w:t xml:space="preserve"> </w:t>
      </w:r>
    </w:p>
    <w:p w14:paraId="69E51F04" w14:textId="77777777" w:rsidR="009147B5" w:rsidRPr="00CF02D7" w:rsidRDefault="009147B5" w:rsidP="00B00A90">
      <w:pPr>
        <w:pStyle w:val="NormalWeb"/>
        <w:spacing w:before="240" w:beforeAutospacing="0" w:after="160" w:afterAutospacing="0" w:line="360" w:lineRule="auto"/>
        <w:jc w:val="both"/>
        <w:rPr>
          <w:rFonts w:ascii="Arial" w:hAnsi="Arial" w:cs="Arial"/>
          <w:sz w:val="22"/>
          <w:szCs w:val="22"/>
        </w:rPr>
      </w:pPr>
      <w:r w:rsidRPr="00CF02D7">
        <w:rPr>
          <w:rFonts w:ascii="Arial" w:hAnsi="Arial" w:cs="Arial"/>
          <w:sz w:val="22"/>
          <w:szCs w:val="22"/>
        </w:rPr>
        <w:t xml:space="preserve">The Queensland Government notes the assessment </w:t>
      </w:r>
      <w:r w:rsidR="00B929AB" w:rsidRPr="00CF02D7">
        <w:rPr>
          <w:rFonts w:ascii="Arial" w:hAnsi="Arial" w:cs="Arial"/>
          <w:sz w:val="22"/>
          <w:szCs w:val="22"/>
        </w:rPr>
        <w:t xml:space="preserve">in </w:t>
      </w:r>
      <w:r w:rsidRPr="00CF02D7">
        <w:rPr>
          <w:rFonts w:ascii="Arial" w:hAnsi="Arial" w:cs="Arial"/>
          <w:sz w:val="22"/>
          <w:szCs w:val="22"/>
        </w:rPr>
        <w:t xml:space="preserve">the 2018 </w:t>
      </w:r>
      <w:r w:rsidR="00B929AB" w:rsidRPr="00CF02D7">
        <w:rPr>
          <w:rFonts w:ascii="Arial" w:hAnsi="Arial" w:cs="Arial"/>
          <w:sz w:val="22"/>
          <w:szCs w:val="22"/>
        </w:rPr>
        <w:t xml:space="preserve">FWC </w:t>
      </w:r>
      <w:r w:rsidRPr="00CF02D7">
        <w:rPr>
          <w:rFonts w:ascii="Arial" w:hAnsi="Arial" w:cs="Arial"/>
          <w:sz w:val="22"/>
          <w:szCs w:val="22"/>
        </w:rPr>
        <w:t>AWR</w:t>
      </w:r>
      <w:r w:rsidR="00B929AB" w:rsidRPr="00CF02D7">
        <w:rPr>
          <w:rFonts w:ascii="Arial" w:hAnsi="Arial" w:cs="Arial"/>
          <w:sz w:val="22"/>
          <w:szCs w:val="22"/>
        </w:rPr>
        <w:t xml:space="preserve"> decision</w:t>
      </w:r>
      <w:r w:rsidRPr="00CF02D7">
        <w:rPr>
          <w:rFonts w:ascii="Arial" w:hAnsi="Arial" w:cs="Arial"/>
          <w:sz w:val="22"/>
          <w:szCs w:val="22"/>
        </w:rPr>
        <w:t xml:space="preserve"> that in the context of an AWR, the application of the principle of equal remuneration for work of equal or comparable value has ‘limited relevance’ and that to address ‘systematic gender undervaluation of work’ it would be more appropriate to make an application to vary a modern award for ‘work value reasons’.</w:t>
      </w:r>
      <w:r w:rsidR="00A22706" w:rsidRPr="00CF02D7">
        <w:rPr>
          <w:rFonts w:ascii="Arial" w:hAnsi="Arial" w:cs="Arial"/>
          <w:sz w:val="22"/>
          <w:szCs w:val="22"/>
          <w:vertAlign w:val="superscript"/>
        </w:rPr>
        <w:footnoteReference w:id="26"/>
      </w:r>
      <w:r w:rsidRPr="00CF02D7">
        <w:rPr>
          <w:rFonts w:ascii="Arial" w:hAnsi="Arial" w:cs="Arial"/>
          <w:sz w:val="22"/>
          <w:szCs w:val="22"/>
        </w:rPr>
        <w:t xml:space="preserve"> </w:t>
      </w:r>
    </w:p>
    <w:p w14:paraId="15E3BA1E" w14:textId="38514D53" w:rsidR="00A22706" w:rsidRPr="00CF02D7" w:rsidRDefault="00B929AB" w:rsidP="00B00A90">
      <w:pPr>
        <w:pStyle w:val="NormalWeb"/>
        <w:spacing w:before="240" w:beforeAutospacing="0" w:after="160" w:afterAutospacing="0" w:line="360" w:lineRule="auto"/>
        <w:jc w:val="both"/>
        <w:rPr>
          <w:rFonts w:ascii="Arial" w:hAnsi="Arial" w:cs="Arial"/>
          <w:sz w:val="22"/>
          <w:szCs w:val="22"/>
        </w:rPr>
      </w:pPr>
      <w:r w:rsidRPr="00CF02D7">
        <w:rPr>
          <w:rFonts w:ascii="Arial" w:hAnsi="Arial" w:cs="Arial"/>
          <w:sz w:val="22"/>
          <w:szCs w:val="22"/>
        </w:rPr>
        <w:t>However, t</w:t>
      </w:r>
      <w:r w:rsidR="009147B5" w:rsidRPr="00CF02D7">
        <w:rPr>
          <w:rFonts w:ascii="Arial" w:hAnsi="Arial" w:cs="Arial"/>
          <w:sz w:val="22"/>
          <w:szCs w:val="22"/>
        </w:rPr>
        <w:t>he Queensland Government agrees that ‘the broader issue of gender pay equity, and in particular the gender pay gap, is relevant’ to the AWR</w:t>
      </w:r>
      <w:r w:rsidR="00A22706" w:rsidRPr="00CF02D7">
        <w:rPr>
          <w:rFonts w:ascii="Arial" w:hAnsi="Arial" w:cs="Arial"/>
          <w:sz w:val="22"/>
          <w:szCs w:val="22"/>
          <w:vertAlign w:val="superscript"/>
        </w:rPr>
        <w:footnoteReference w:id="27"/>
      </w:r>
      <w:r w:rsidRPr="00CF02D7">
        <w:rPr>
          <w:rFonts w:ascii="Arial" w:hAnsi="Arial" w:cs="Arial"/>
          <w:sz w:val="22"/>
          <w:szCs w:val="22"/>
        </w:rPr>
        <w:t xml:space="preserve"> and that as ‘[w]omen</w:t>
      </w:r>
      <w:r w:rsidR="00CF02D7">
        <w:rPr>
          <w:rFonts w:ascii="Arial" w:hAnsi="Arial" w:cs="Arial"/>
          <w:sz w:val="22"/>
          <w:szCs w:val="22"/>
        </w:rPr>
        <w:t xml:space="preserve"> </w:t>
      </w:r>
      <w:r w:rsidRPr="00CF02D7">
        <w:rPr>
          <w:rFonts w:ascii="Arial" w:hAnsi="Arial" w:cs="Arial"/>
          <w:sz w:val="22"/>
          <w:szCs w:val="22"/>
        </w:rPr>
        <w:t xml:space="preserve">are </w:t>
      </w:r>
      <w:r w:rsidR="00CF02D7">
        <w:rPr>
          <w:rFonts w:ascii="Arial" w:hAnsi="Arial" w:cs="Arial"/>
          <w:sz w:val="22"/>
          <w:szCs w:val="22"/>
        </w:rPr>
        <w:t>d</w:t>
      </w:r>
      <w:r w:rsidRPr="00CF02D7">
        <w:rPr>
          <w:rFonts w:ascii="Arial" w:hAnsi="Arial" w:cs="Arial"/>
          <w:sz w:val="22"/>
          <w:szCs w:val="22"/>
        </w:rPr>
        <w:t>isproportionately represented among the low paid…an increase in minimum wages is likely to promote gender pay equity</w:t>
      </w:r>
      <w:r w:rsidR="00A22706" w:rsidRPr="00CF02D7">
        <w:rPr>
          <w:rFonts w:ascii="Arial" w:hAnsi="Arial" w:cs="Arial"/>
          <w:sz w:val="22"/>
          <w:szCs w:val="22"/>
        </w:rPr>
        <w:t>.’</w:t>
      </w:r>
      <w:r w:rsidR="00A22706" w:rsidRPr="00CF02D7">
        <w:rPr>
          <w:rFonts w:ascii="Arial" w:hAnsi="Arial" w:cs="Arial"/>
          <w:sz w:val="22"/>
          <w:szCs w:val="22"/>
          <w:vertAlign w:val="superscript"/>
        </w:rPr>
        <w:footnoteReference w:id="28"/>
      </w:r>
      <w:r w:rsidR="00A22706" w:rsidRPr="00CF02D7">
        <w:rPr>
          <w:rFonts w:ascii="Arial" w:hAnsi="Arial" w:cs="Arial"/>
          <w:sz w:val="22"/>
          <w:szCs w:val="22"/>
        </w:rPr>
        <w:t xml:space="preserve"> </w:t>
      </w:r>
      <w:r w:rsidR="009147B5" w:rsidRPr="00CF02D7">
        <w:rPr>
          <w:rFonts w:ascii="Arial" w:hAnsi="Arial" w:cs="Arial"/>
          <w:sz w:val="22"/>
          <w:szCs w:val="22"/>
        </w:rPr>
        <w:t xml:space="preserve"> </w:t>
      </w:r>
    </w:p>
    <w:p w14:paraId="5C67C652" w14:textId="77777777" w:rsidR="00553057" w:rsidRPr="000C0AD6" w:rsidRDefault="00A22706" w:rsidP="00CF02D7">
      <w:pPr>
        <w:pStyle w:val="NWCbodytextArial11ptJustified"/>
      </w:pPr>
      <w:r>
        <w:t xml:space="preserve">On this basis </w:t>
      </w:r>
      <w:r w:rsidRPr="00AE7570">
        <w:t>the Queensland Government reiterates the position it put forward in its submission to the 2018 AWR that</w:t>
      </w:r>
      <w:r>
        <w:t xml:space="preserve"> ‘</w:t>
      </w:r>
      <w:r w:rsidR="009147B5" w:rsidRPr="00A22706">
        <w:t>[g]</w:t>
      </w:r>
      <w:r w:rsidR="00553057" w:rsidRPr="00A22706">
        <w:t xml:space="preserve">iven the </w:t>
      </w:r>
      <w:r w:rsidR="00553057" w:rsidRPr="000C0AD6">
        <w:t>relationship between award reliance and low pay, an increase in minimum wages is likely to positively impact on pay equity. While such an increase may only have a minimal impact on the gender pay gap, the Queensland Government position is that this remains a worthwhile pursuit.</w:t>
      </w:r>
      <w:r>
        <w:t>’</w:t>
      </w:r>
      <w:r>
        <w:rPr>
          <w:rStyle w:val="FootnoteReference"/>
        </w:rPr>
        <w:footnoteReference w:id="29"/>
      </w:r>
    </w:p>
    <w:p w14:paraId="14302530" w14:textId="7A5E0B0C" w:rsidR="00540DE7" w:rsidRDefault="00540DE7" w:rsidP="00B00A90">
      <w:pPr>
        <w:pStyle w:val="Heading1"/>
        <w:jc w:val="both"/>
        <w:rPr>
          <w:rFonts w:ascii="Arial" w:hAnsi="Arial" w:cs="Arial"/>
        </w:rPr>
      </w:pPr>
      <w:bookmarkStart w:id="25" w:name="P3660_295437"/>
      <w:bookmarkStart w:id="26" w:name="_Toc442256144"/>
      <w:bookmarkStart w:id="27" w:name="_Toc2688653"/>
      <w:bookmarkEnd w:id="25"/>
      <w:r w:rsidRPr="009853C0">
        <w:rPr>
          <w:rFonts w:ascii="Arial" w:hAnsi="Arial" w:cs="Arial"/>
        </w:rPr>
        <w:t>Conclusion</w:t>
      </w:r>
      <w:bookmarkEnd w:id="26"/>
      <w:bookmarkEnd w:id="27"/>
      <w:r w:rsidRPr="00272590">
        <w:rPr>
          <w:rFonts w:ascii="Arial" w:hAnsi="Arial" w:cs="Arial"/>
        </w:rPr>
        <w:t xml:space="preserve"> </w:t>
      </w:r>
    </w:p>
    <w:p w14:paraId="160F5D69" w14:textId="77777777" w:rsidR="009853C0" w:rsidRPr="00CF02D7" w:rsidRDefault="00540DE7" w:rsidP="00B00A90">
      <w:pPr>
        <w:spacing w:before="240" w:after="240" w:line="360" w:lineRule="auto"/>
        <w:jc w:val="both"/>
        <w:rPr>
          <w:rFonts w:ascii="Arial" w:hAnsi="Arial" w:cs="Arial"/>
          <w:sz w:val="22"/>
          <w:szCs w:val="22"/>
        </w:rPr>
      </w:pPr>
      <w:r w:rsidRPr="00CF02D7">
        <w:rPr>
          <w:rFonts w:ascii="Arial" w:hAnsi="Arial" w:cs="Arial"/>
          <w:sz w:val="22"/>
          <w:szCs w:val="22"/>
        </w:rPr>
        <w:t xml:space="preserve">This submission has examined the background and context for the FWC </w:t>
      </w:r>
      <w:r w:rsidR="00557AF7" w:rsidRPr="00CF02D7">
        <w:rPr>
          <w:rFonts w:ascii="Arial" w:hAnsi="Arial" w:cs="Arial"/>
          <w:sz w:val="22"/>
          <w:szCs w:val="22"/>
        </w:rPr>
        <w:t>AWR</w:t>
      </w:r>
      <w:r w:rsidRPr="00CF02D7">
        <w:rPr>
          <w:rFonts w:ascii="Arial" w:hAnsi="Arial" w:cs="Arial"/>
          <w:sz w:val="22"/>
          <w:szCs w:val="22"/>
        </w:rPr>
        <w:t xml:space="preserve"> and the key economic and social factors that are relevant to the determination of the Panel. </w:t>
      </w:r>
    </w:p>
    <w:p w14:paraId="667F36BF" w14:textId="77777777" w:rsidR="00DA4C71" w:rsidRPr="00CF02D7" w:rsidRDefault="00EF7AFF" w:rsidP="00CF02D7">
      <w:pPr>
        <w:pStyle w:val="NWCbodytextArial11ptJustified"/>
      </w:pPr>
      <w:r w:rsidRPr="00CF02D7">
        <w:t>The Queensland Government is committed</w:t>
      </w:r>
      <w:r w:rsidR="005E749B" w:rsidRPr="00CF02D7">
        <w:t xml:space="preserve"> to economically responsible pay increases and </w:t>
      </w:r>
      <w:r w:rsidRPr="00CF02D7">
        <w:t xml:space="preserve">the </w:t>
      </w:r>
      <w:r w:rsidR="005E749B" w:rsidRPr="00CF02D7">
        <w:t>protection</w:t>
      </w:r>
      <w:r w:rsidR="0066000A" w:rsidRPr="00CF02D7">
        <w:t xml:space="preserve"> of the </w:t>
      </w:r>
      <w:r w:rsidR="00B00A90" w:rsidRPr="00CF02D7">
        <w:t xml:space="preserve">low paid. </w:t>
      </w:r>
      <w:r w:rsidR="00472898" w:rsidRPr="00CF02D7">
        <w:t>T</w:t>
      </w:r>
      <w:r w:rsidR="005E749B" w:rsidRPr="00CF02D7">
        <w:t xml:space="preserve">he Queensland Government </w:t>
      </w:r>
      <w:r w:rsidR="00577912" w:rsidRPr="00CF02D7">
        <w:t xml:space="preserve">submits </w:t>
      </w:r>
      <w:r w:rsidR="00472898" w:rsidRPr="00CF02D7">
        <w:t xml:space="preserve">that </w:t>
      </w:r>
      <w:r w:rsidR="005E749B" w:rsidRPr="00CF02D7">
        <w:t xml:space="preserve">a pay increase that </w:t>
      </w:r>
      <w:r w:rsidR="004066D7" w:rsidRPr="00CF02D7">
        <w:t xml:space="preserve">rewards productivity gains and </w:t>
      </w:r>
      <w:r w:rsidR="00CC6116" w:rsidRPr="00CF02D7">
        <w:t>improve</w:t>
      </w:r>
      <w:r w:rsidR="004066D7" w:rsidRPr="00CF02D7">
        <w:t xml:space="preserve">s the value of real wages as well as the living standards for workers </w:t>
      </w:r>
      <w:r w:rsidR="00557AF7" w:rsidRPr="00CF02D7">
        <w:t xml:space="preserve">subject to </w:t>
      </w:r>
      <w:r w:rsidR="004066D7" w:rsidRPr="00CF02D7">
        <w:t xml:space="preserve">the NMW </w:t>
      </w:r>
      <w:r w:rsidR="00557AF7" w:rsidRPr="00CF02D7">
        <w:t xml:space="preserve">order </w:t>
      </w:r>
      <w:r w:rsidR="004066D7" w:rsidRPr="00CF02D7">
        <w:t>and award wage reliant workers</w:t>
      </w:r>
      <w:r w:rsidR="00472898" w:rsidRPr="00CF02D7">
        <w:t xml:space="preserve"> would meet these criteria</w:t>
      </w:r>
      <w:r w:rsidR="004066D7" w:rsidRPr="00CF02D7">
        <w:t xml:space="preserve">. </w:t>
      </w:r>
    </w:p>
    <w:p w14:paraId="396420AB" w14:textId="77777777" w:rsidR="00CD5DE8" w:rsidRPr="00BC39AA" w:rsidRDefault="00540DE7" w:rsidP="00B00A90">
      <w:pPr>
        <w:jc w:val="both"/>
        <w:rPr>
          <w:rFonts w:ascii="Arial" w:hAnsi="Arial" w:cs="Arial"/>
          <w:b/>
          <w:sz w:val="26"/>
          <w:szCs w:val="26"/>
        </w:rPr>
      </w:pPr>
      <w:bookmarkStart w:id="28" w:name="_Toc442256145"/>
      <w:r w:rsidRPr="00BC39AA">
        <w:rPr>
          <w:rFonts w:ascii="Arial" w:hAnsi="Arial" w:cs="Arial"/>
          <w:b/>
          <w:sz w:val="26"/>
          <w:szCs w:val="26"/>
        </w:rPr>
        <w:t>The Queensland Government submits:</w:t>
      </w:r>
      <w:bookmarkEnd w:id="28"/>
      <w:r w:rsidRPr="00BC39AA">
        <w:rPr>
          <w:rFonts w:ascii="Arial" w:hAnsi="Arial" w:cs="Arial"/>
          <w:b/>
          <w:sz w:val="26"/>
          <w:szCs w:val="26"/>
        </w:rPr>
        <w:t xml:space="preserve"> </w:t>
      </w:r>
    </w:p>
    <w:p w14:paraId="51460D72" w14:textId="657941D4" w:rsidR="00CD5DE8" w:rsidRDefault="00E879EB" w:rsidP="00B00A90">
      <w:pPr>
        <w:pStyle w:val="ListParagraph"/>
        <w:numPr>
          <w:ilvl w:val="0"/>
          <w:numId w:val="9"/>
        </w:numPr>
        <w:spacing w:before="240" w:after="240" w:line="360" w:lineRule="auto"/>
        <w:jc w:val="both"/>
        <w:rPr>
          <w:rFonts w:ascii="Arial" w:hAnsi="Arial" w:cs="Arial"/>
        </w:rPr>
      </w:pPr>
      <w:r>
        <w:rPr>
          <w:rFonts w:ascii="Arial" w:hAnsi="Arial" w:cs="Arial"/>
        </w:rPr>
        <w:t>O</w:t>
      </w:r>
      <w:r w:rsidR="005E749B" w:rsidRPr="00131079">
        <w:rPr>
          <w:rFonts w:ascii="Arial" w:hAnsi="Arial" w:cs="Arial"/>
        </w:rPr>
        <w:t>n balance, the Australian economy is</w:t>
      </w:r>
      <w:r w:rsidR="0050682D">
        <w:rPr>
          <w:rFonts w:ascii="Arial" w:hAnsi="Arial" w:cs="Arial"/>
        </w:rPr>
        <w:t xml:space="preserve"> expected to grow in line with its estimated potential over the next few years</w:t>
      </w:r>
      <w:r w:rsidR="00F8084B">
        <w:rPr>
          <w:rFonts w:ascii="Arial" w:hAnsi="Arial" w:cs="Arial"/>
        </w:rPr>
        <w:t>,</w:t>
      </w:r>
      <w:r w:rsidR="00F8084B" w:rsidRPr="00131079">
        <w:rPr>
          <w:rFonts w:ascii="Arial" w:hAnsi="Arial" w:cs="Arial"/>
        </w:rPr>
        <w:t xml:space="preserve"> </w:t>
      </w:r>
      <w:r w:rsidR="00F8084B" w:rsidRPr="00F8084B">
        <w:rPr>
          <w:rFonts w:ascii="Arial" w:hAnsi="Arial" w:cs="Arial"/>
        </w:rPr>
        <w:t xml:space="preserve">with the transition from the end of the investment phase of the mining boom to broader-based sources of growth progressing as expected. </w:t>
      </w:r>
      <w:r w:rsidR="0050682D">
        <w:rPr>
          <w:rFonts w:ascii="Arial" w:hAnsi="Arial" w:cs="Arial"/>
        </w:rPr>
        <w:t xml:space="preserve">However, recent developments have seen a softening in the global outlook, which could impact on Australia. </w:t>
      </w:r>
      <w:r w:rsidR="00F8084B" w:rsidRPr="00F8084B">
        <w:rPr>
          <w:rFonts w:ascii="Arial" w:hAnsi="Arial" w:cs="Arial"/>
        </w:rPr>
        <w:t>Real GDP is forecast to grow b</w:t>
      </w:r>
      <w:r w:rsidR="00F9007C">
        <w:rPr>
          <w:rFonts w:ascii="Arial" w:hAnsi="Arial" w:cs="Arial"/>
        </w:rPr>
        <w:t>y 2¾% in 2018</w:t>
      </w:r>
      <w:r w:rsidR="003254A7">
        <w:rPr>
          <w:rFonts w:ascii="Arial" w:hAnsi="Arial" w:cs="Arial"/>
        </w:rPr>
        <w:t>–</w:t>
      </w:r>
      <w:r w:rsidR="00F9007C">
        <w:rPr>
          <w:rFonts w:ascii="Arial" w:hAnsi="Arial" w:cs="Arial"/>
        </w:rPr>
        <w:t xml:space="preserve">19 and 3% in </w:t>
      </w:r>
      <w:r w:rsidR="00167B46">
        <w:rPr>
          <w:rFonts w:ascii="Arial" w:hAnsi="Arial" w:cs="Arial"/>
        </w:rPr>
        <w:br/>
      </w:r>
      <w:r w:rsidR="00F9007C">
        <w:rPr>
          <w:rFonts w:ascii="Arial" w:hAnsi="Arial" w:cs="Arial"/>
        </w:rPr>
        <w:t>2019–</w:t>
      </w:r>
      <w:r w:rsidR="00F8084B" w:rsidRPr="00F8084B">
        <w:rPr>
          <w:rFonts w:ascii="Arial" w:hAnsi="Arial" w:cs="Arial"/>
        </w:rPr>
        <w:t>20, supported by a resurgence in mining investment as well as non-mining business investment, household consumption and exports.</w:t>
      </w:r>
      <w:r w:rsidR="008F3230" w:rsidRPr="00131079">
        <w:rPr>
          <w:rFonts w:ascii="Arial" w:hAnsi="Arial" w:cs="Arial"/>
        </w:rPr>
        <w:t xml:space="preserve"> Employment growth has strengthened recently as the economy transitions to more labour</w:t>
      </w:r>
      <w:r w:rsidR="00B24E7C">
        <w:rPr>
          <w:rFonts w:ascii="Arial" w:hAnsi="Arial" w:cs="Arial"/>
        </w:rPr>
        <w:t>-i</w:t>
      </w:r>
      <w:r w:rsidR="008F3230" w:rsidRPr="00131079">
        <w:rPr>
          <w:rFonts w:ascii="Arial" w:hAnsi="Arial" w:cs="Arial"/>
        </w:rPr>
        <w:t>ntensive services</w:t>
      </w:r>
      <w:r w:rsidR="007E2134">
        <w:rPr>
          <w:rFonts w:ascii="Arial" w:hAnsi="Arial" w:cs="Arial"/>
        </w:rPr>
        <w:t xml:space="preserve"> sectors.  However, the strengthening labour market has not produced an</w:t>
      </w:r>
      <w:r w:rsidR="008F3230" w:rsidRPr="00131079">
        <w:rPr>
          <w:rFonts w:ascii="Arial" w:hAnsi="Arial" w:cs="Arial"/>
        </w:rPr>
        <w:t xml:space="preserve"> </w:t>
      </w:r>
      <w:r w:rsidR="007E2134">
        <w:rPr>
          <w:rFonts w:ascii="Arial" w:hAnsi="Arial" w:cs="Arial"/>
        </w:rPr>
        <w:t>improvement in</w:t>
      </w:r>
      <w:r w:rsidR="008F3230" w:rsidRPr="00131079">
        <w:rPr>
          <w:rFonts w:ascii="Arial" w:hAnsi="Arial" w:cs="Arial"/>
        </w:rPr>
        <w:t xml:space="preserve"> wage growth</w:t>
      </w:r>
      <w:r w:rsidR="00DA4C71" w:rsidRPr="00131079">
        <w:rPr>
          <w:rFonts w:ascii="Arial" w:hAnsi="Arial" w:cs="Arial"/>
        </w:rPr>
        <w:t>;</w:t>
      </w:r>
    </w:p>
    <w:p w14:paraId="077EB9A4" w14:textId="77777777" w:rsidR="0093446A" w:rsidRPr="00131079" w:rsidRDefault="0093446A" w:rsidP="00B00A90">
      <w:pPr>
        <w:pStyle w:val="ListParagraph"/>
        <w:numPr>
          <w:ilvl w:val="0"/>
          <w:numId w:val="9"/>
        </w:numPr>
        <w:spacing w:before="240" w:after="240" w:line="360" w:lineRule="auto"/>
        <w:jc w:val="both"/>
        <w:rPr>
          <w:rFonts w:ascii="Arial" w:hAnsi="Arial" w:cs="Arial"/>
        </w:rPr>
      </w:pPr>
      <w:r w:rsidRPr="002203F7">
        <w:rPr>
          <w:rFonts w:ascii="Arial" w:hAnsi="Arial" w:cs="Arial"/>
        </w:rPr>
        <w:t xml:space="preserve">an increase that rewards productivity gains and </w:t>
      </w:r>
      <w:r w:rsidR="00CC6116" w:rsidRPr="002203F7">
        <w:rPr>
          <w:rFonts w:ascii="Arial" w:hAnsi="Arial" w:cs="Arial"/>
        </w:rPr>
        <w:t>improve</w:t>
      </w:r>
      <w:r w:rsidRPr="002203F7">
        <w:rPr>
          <w:rFonts w:ascii="Arial" w:hAnsi="Arial" w:cs="Arial"/>
        </w:rPr>
        <w:t>s the value of real wages as</w:t>
      </w:r>
      <w:r w:rsidRPr="00131079">
        <w:rPr>
          <w:rFonts w:ascii="Arial" w:hAnsi="Arial" w:cs="Arial"/>
        </w:rPr>
        <w:t xml:space="preserve"> well as the living standards for workers receiving the NMW or award wage reliant workers is economically responsible and protects the low paid;</w:t>
      </w:r>
    </w:p>
    <w:p w14:paraId="23A47949" w14:textId="77777777" w:rsidR="0093446A" w:rsidRDefault="0093446A" w:rsidP="00B00A90">
      <w:pPr>
        <w:pStyle w:val="ListParagraph"/>
        <w:numPr>
          <w:ilvl w:val="0"/>
          <w:numId w:val="9"/>
        </w:numPr>
        <w:spacing w:before="240" w:after="240" w:line="360" w:lineRule="auto"/>
        <w:jc w:val="both"/>
        <w:rPr>
          <w:rFonts w:ascii="Arial" w:hAnsi="Arial" w:cs="Arial"/>
        </w:rPr>
      </w:pPr>
      <w:r w:rsidRPr="00131079">
        <w:rPr>
          <w:rFonts w:ascii="Arial" w:hAnsi="Arial" w:cs="Arial"/>
        </w:rPr>
        <w:t xml:space="preserve">in determining the </w:t>
      </w:r>
      <w:r w:rsidR="00577912">
        <w:rPr>
          <w:rFonts w:ascii="Arial" w:hAnsi="Arial" w:cs="Arial"/>
        </w:rPr>
        <w:t xml:space="preserve">level of </w:t>
      </w:r>
      <w:r w:rsidRPr="00131079">
        <w:rPr>
          <w:rFonts w:ascii="Arial" w:hAnsi="Arial" w:cs="Arial"/>
        </w:rPr>
        <w:t>increase, a broad range of indicators should be considered. These include inflation, employment, wage growth, business profits and conditions</w:t>
      </w:r>
      <w:r w:rsidR="006B129F" w:rsidRPr="00131079">
        <w:rPr>
          <w:rFonts w:ascii="Arial" w:hAnsi="Arial" w:cs="Arial"/>
        </w:rPr>
        <w:t>,</w:t>
      </w:r>
      <w:r w:rsidR="00231CDD">
        <w:rPr>
          <w:rFonts w:ascii="Arial" w:hAnsi="Arial" w:cs="Arial"/>
        </w:rPr>
        <w:t xml:space="preserve"> </w:t>
      </w:r>
      <w:r w:rsidRPr="00131079">
        <w:rPr>
          <w:rFonts w:ascii="Arial" w:hAnsi="Arial" w:cs="Arial"/>
        </w:rPr>
        <w:t>productivity growth</w:t>
      </w:r>
      <w:r w:rsidR="00577912">
        <w:rPr>
          <w:rFonts w:ascii="Arial" w:hAnsi="Arial" w:cs="Arial"/>
        </w:rPr>
        <w:t>, relative living standards and the needs of the low paid</w:t>
      </w:r>
      <w:r w:rsidRPr="00131079">
        <w:rPr>
          <w:rFonts w:ascii="Arial" w:hAnsi="Arial" w:cs="Arial"/>
        </w:rPr>
        <w:t>;</w:t>
      </w:r>
    </w:p>
    <w:p w14:paraId="77CD9B8A" w14:textId="623CF03F" w:rsidR="009F37D0" w:rsidRPr="00131079" w:rsidRDefault="009F37D0" w:rsidP="00B00A90">
      <w:pPr>
        <w:pStyle w:val="ListParagraph"/>
        <w:numPr>
          <w:ilvl w:val="0"/>
          <w:numId w:val="9"/>
        </w:numPr>
        <w:spacing w:before="240" w:after="240" w:line="360" w:lineRule="auto"/>
        <w:jc w:val="both"/>
        <w:rPr>
          <w:rFonts w:ascii="Arial" w:hAnsi="Arial" w:cs="Arial"/>
        </w:rPr>
      </w:pPr>
      <w:r>
        <w:rPr>
          <w:rFonts w:ascii="Arial" w:hAnsi="Arial" w:cs="Arial"/>
        </w:rPr>
        <w:t>there is little or no evidence to suggest that moderate increases in minimum and award wages have any significant dis</w:t>
      </w:r>
      <w:r w:rsidR="00E879EB">
        <w:rPr>
          <w:rFonts w:ascii="Arial" w:hAnsi="Arial" w:cs="Arial"/>
        </w:rPr>
        <w:t>-</w:t>
      </w:r>
      <w:r>
        <w:rPr>
          <w:rFonts w:ascii="Arial" w:hAnsi="Arial" w:cs="Arial"/>
        </w:rPr>
        <w:t>employment effects;</w:t>
      </w:r>
    </w:p>
    <w:p w14:paraId="25D4FBEA" w14:textId="77777777" w:rsidR="0093446A" w:rsidRPr="00131079" w:rsidRDefault="008E4CB2" w:rsidP="00B00A90">
      <w:pPr>
        <w:pStyle w:val="ListParagraph"/>
        <w:numPr>
          <w:ilvl w:val="0"/>
          <w:numId w:val="9"/>
        </w:numPr>
        <w:spacing w:before="240" w:after="240" w:line="360" w:lineRule="auto"/>
        <w:jc w:val="both"/>
        <w:rPr>
          <w:rFonts w:ascii="Arial" w:hAnsi="Arial" w:cs="Arial"/>
        </w:rPr>
      </w:pPr>
      <w:r>
        <w:rPr>
          <w:rFonts w:ascii="Arial" w:hAnsi="Arial" w:cs="Arial"/>
        </w:rPr>
        <w:t xml:space="preserve">due to increased reliance upon </w:t>
      </w:r>
      <w:r w:rsidR="00BE3E08">
        <w:rPr>
          <w:rFonts w:ascii="Arial" w:hAnsi="Arial" w:cs="Arial"/>
        </w:rPr>
        <w:t xml:space="preserve">the NMW and award rates of pay </w:t>
      </w:r>
      <w:r w:rsidR="006F196A">
        <w:rPr>
          <w:rFonts w:ascii="Arial" w:hAnsi="Arial" w:cs="Arial"/>
        </w:rPr>
        <w:t>i</w:t>
      </w:r>
      <w:r w:rsidR="0093446A" w:rsidRPr="00131079">
        <w:rPr>
          <w:rFonts w:ascii="Arial" w:hAnsi="Arial" w:cs="Arial"/>
        </w:rPr>
        <w:t xml:space="preserve">t is incumbent on the Panel to set minimum wages that are fair in the context of living standards generally; </w:t>
      </w:r>
    </w:p>
    <w:p w14:paraId="76D1005E" w14:textId="77777777" w:rsidR="00E879EB" w:rsidRDefault="0093446A" w:rsidP="00B00A90">
      <w:pPr>
        <w:pStyle w:val="ListParagraph"/>
        <w:numPr>
          <w:ilvl w:val="0"/>
          <w:numId w:val="9"/>
        </w:numPr>
        <w:spacing w:before="240" w:after="240" w:line="360" w:lineRule="auto"/>
        <w:jc w:val="both"/>
        <w:rPr>
          <w:rFonts w:ascii="Arial" w:hAnsi="Arial" w:cs="Arial"/>
        </w:rPr>
      </w:pPr>
      <w:r w:rsidRPr="00131079">
        <w:rPr>
          <w:rFonts w:ascii="Arial" w:hAnsi="Arial" w:cs="Arial"/>
        </w:rPr>
        <w:t xml:space="preserve">raising the minimum and award wages will promote gender pay equity due to the </w:t>
      </w:r>
      <w:r w:rsidRPr="002D0798">
        <w:rPr>
          <w:rFonts w:ascii="Arial" w:hAnsi="Arial" w:cs="Arial"/>
        </w:rPr>
        <w:t>greater reliance of women workers on mi</w:t>
      </w:r>
      <w:r w:rsidR="00E879EB" w:rsidRPr="002D0798">
        <w:rPr>
          <w:rFonts w:ascii="Arial" w:hAnsi="Arial" w:cs="Arial"/>
        </w:rPr>
        <w:t>nimum and award wage rates; and</w:t>
      </w:r>
    </w:p>
    <w:p w14:paraId="4B081779" w14:textId="01DBEB63" w:rsidR="004210B5" w:rsidRPr="00B00A90" w:rsidRDefault="00447EEA" w:rsidP="000E59BB">
      <w:pPr>
        <w:pStyle w:val="ListParagraph"/>
        <w:numPr>
          <w:ilvl w:val="0"/>
          <w:numId w:val="9"/>
        </w:numPr>
        <w:spacing w:before="240" w:after="240" w:line="360" w:lineRule="auto"/>
        <w:jc w:val="both"/>
        <w:rPr>
          <w:rFonts w:ascii="Arial" w:hAnsi="Arial" w:cs="Arial"/>
        </w:rPr>
      </w:pPr>
      <w:r w:rsidRPr="00B00A90">
        <w:rPr>
          <w:rFonts w:ascii="Arial" w:hAnsi="Arial" w:cs="Arial"/>
        </w:rPr>
        <w:t>consistent with the principles and considerations outlined in this submission, and based on data available at the time of this submission, the Queensland Government supports</w:t>
      </w:r>
      <w:r w:rsidR="00B24E7C" w:rsidRPr="00B24E7C">
        <w:rPr>
          <w:rFonts w:ascii="Arial" w:hAnsi="Arial" w:cs="Arial"/>
        </w:rPr>
        <w:t xml:space="preserve"> </w:t>
      </w:r>
      <w:r w:rsidR="000E59BB" w:rsidRPr="000E59BB">
        <w:rPr>
          <w:rFonts w:ascii="Arial" w:hAnsi="Arial" w:cs="Arial"/>
        </w:rPr>
        <w:t>a 3.5% increase to the NMW and a fair and reasonable increase to minimum award rates of pay</w:t>
      </w:r>
      <w:r w:rsidR="000E59BB">
        <w:rPr>
          <w:rFonts w:ascii="Arial" w:hAnsi="Arial" w:cs="Arial"/>
        </w:rPr>
        <w:t>.</w:t>
      </w:r>
    </w:p>
    <w:p w14:paraId="10796A95" w14:textId="77777777" w:rsidR="00447EEA" w:rsidRPr="00447EEA" w:rsidRDefault="00447EEA" w:rsidP="00B00A90">
      <w:pPr>
        <w:pStyle w:val="ListParagraph"/>
        <w:spacing w:before="240" w:after="240" w:line="360" w:lineRule="auto"/>
        <w:rPr>
          <w:highlight w:val="yellow"/>
        </w:rPr>
      </w:pPr>
      <w:r w:rsidRPr="002A0972">
        <w:rPr>
          <w:rFonts w:ascii="Arial" w:hAnsi="Arial" w:cs="Arial"/>
        </w:rPr>
        <w:t xml:space="preserve"> </w:t>
      </w:r>
    </w:p>
    <w:sectPr w:rsidR="00447EEA" w:rsidRPr="00447EEA" w:rsidSect="00B00A90">
      <w:headerReference w:type="default" r:id="rId19"/>
      <w:footerReference w:type="default" r:id="rId20"/>
      <w:type w:val="continuous"/>
      <w:pgSz w:w="11906" w:h="16838"/>
      <w:pgMar w:top="1440" w:right="1304" w:bottom="993"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370C2" w14:textId="77777777" w:rsidR="00830528" w:rsidRDefault="00830528" w:rsidP="006C374E">
      <w:r>
        <w:separator/>
      </w:r>
    </w:p>
  </w:endnote>
  <w:endnote w:type="continuationSeparator" w:id="0">
    <w:p w14:paraId="43A11965" w14:textId="77777777" w:rsidR="00830528" w:rsidRDefault="00830528" w:rsidP="006C374E">
      <w:r>
        <w:continuationSeparator/>
      </w:r>
    </w:p>
  </w:endnote>
  <w:endnote w:type="continuationNotice" w:id="1">
    <w:p w14:paraId="5BAEC788" w14:textId="77777777" w:rsidR="00830528" w:rsidRDefault="00830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90FAA" w14:textId="77777777" w:rsidR="00830528" w:rsidRDefault="00830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882F4" w14:textId="77777777" w:rsidR="00830528" w:rsidRDefault="00830528" w:rsidP="006C374E">
      <w:r>
        <w:separator/>
      </w:r>
    </w:p>
  </w:footnote>
  <w:footnote w:type="continuationSeparator" w:id="0">
    <w:p w14:paraId="274B5933" w14:textId="77777777" w:rsidR="00830528" w:rsidRDefault="00830528" w:rsidP="006C374E">
      <w:r>
        <w:continuationSeparator/>
      </w:r>
    </w:p>
  </w:footnote>
  <w:footnote w:type="continuationNotice" w:id="1">
    <w:p w14:paraId="5F00A885" w14:textId="77777777" w:rsidR="00830528" w:rsidRDefault="00830528"/>
  </w:footnote>
  <w:footnote w:id="2">
    <w:p w14:paraId="16067FA3" w14:textId="77777777" w:rsidR="00151D1D" w:rsidRDefault="00151D1D">
      <w:pPr>
        <w:pStyle w:val="FootnoteText"/>
      </w:pPr>
      <w:r>
        <w:rPr>
          <w:rStyle w:val="FootnoteReference"/>
        </w:rPr>
        <w:footnoteRef/>
      </w:r>
      <w:r>
        <w:t xml:space="preserve"> </w:t>
      </w:r>
      <w:r w:rsidRPr="005D0E9A">
        <w:rPr>
          <w:rFonts w:cs="Arial"/>
        </w:rPr>
        <w:t>ABS</w:t>
      </w:r>
      <w:r>
        <w:rPr>
          <w:rFonts w:cs="Arial"/>
        </w:rPr>
        <w:t>, Cat. No. 6306,</w:t>
      </w:r>
      <w:r w:rsidRPr="005D0E9A">
        <w:rPr>
          <w:rFonts w:cs="Arial"/>
        </w:rPr>
        <w:t xml:space="preserve"> </w:t>
      </w:r>
      <w:r w:rsidRPr="00095296">
        <w:rPr>
          <w:rFonts w:cs="Arial"/>
          <w:i/>
        </w:rPr>
        <w:t>Employee Earnings and Hours</w:t>
      </w:r>
      <w:r w:rsidRPr="005D0E9A">
        <w:rPr>
          <w:rFonts w:cs="Arial"/>
        </w:rPr>
        <w:t>, May, 20</w:t>
      </w:r>
      <w:r>
        <w:rPr>
          <w:rFonts w:cs="Arial"/>
        </w:rPr>
        <w:t>08</w:t>
      </w:r>
    </w:p>
  </w:footnote>
  <w:footnote w:id="3">
    <w:p w14:paraId="125B4D82" w14:textId="77777777" w:rsidR="00151D1D" w:rsidRDefault="00151D1D">
      <w:pPr>
        <w:pStyle w:val="FootnoteText"/>
      </w:pPr>
      <w:r>
        <w:rPr>
          <w:rStyle w:val="FootnoteReference"/>
        </w:rPr>
        <w:footnoteRef/>
      </w:r>
      <w:r>
        <w:t xml:space="preserve"> </w:t>
      </w:r>
      <w:r w:rsidRPr="005D0E9A">
        <w:rPr>
          <w:rFonts w:cs="Arial"/>
        </w:rPr>
        <w:t>ABS</w:t>
      </w:r>
      <w:r>
        <w:rPr>
          <w:rFonts w:cs="Arial"/>
        </w:rPr>
        <w:t>, Cat. No. 6306,</w:t>
      </w:r>
      <w:r w:rsidRPr="005D0E9A">
        <w:rPr>
          <w:rFonts w:cs="Arial"/>
        </w:rPr>
        <w:t xml:space="preserve"> </w:t>
      </w:r>
      <w:r w:rsidRPr="00095296">
        <w:rPr>
          <w:rFonts w:cs="Arial"/>
          <w:i/>
        </w:rPr>
        <w:t>Employee Earnings and Hours</w:t>
      </w:r>
      <w:r w:rsidRPr="005D0E9A">
        <w:rPr>
          <w:rFonts w:cs="Arial"/>
        </w:rPr>
        <w:t>, May, 201</w:t>
      </w:r>
      <w:r>
        <w:rPr>
          <w:rFonts w:cs="Arial"/>
        </w:rPr>
        <w:t>8</w:t>
      </w:r>
    </w:p>
  </w:footnote>
  <w:footnote w:id="4">
    <w:p w14:paraId="53B93E08" w14:textId="77777777" w:rsidR="00151D1D" w:rsidRDefault="00151D1D" w:rsidP="004210B5">
      <w:pPr>
        <w:pStyle w:val="FootnoteText"/>
      </w:pPr>
      <w:r>
        <w:rPr>
          <w:rStyle w:val="FootnoteReference"/>
        </w:rPr>
        <w:footnoteRef/>
      </w:r>
      <w:r>
        <w:t xml:space="preserve"> FWC Decision </w:t>
      </w:r>
      <w:r>
        <w:rPr>
          <w:b/>
          <w:bCs/>
        </w:rPr>
        <w:t xml:space="preserve">Annual Wage Review 2017–18 </w:t>
      </w:r>
      <w:r>
        <w:t>(C2018/1) para 435</w:t>
      </w:r>
    </w:p>
  </w:footnote>
  <w:footnote w:id="5">
    <w:p w14:paraId="048D8F87" w14:textId="77777777" w:rsidR="00151D1D" w:rsidRDefault="00151D1D">
      <w:pPr>
        <w:pStyle w:val="FootnoteText"/>
      </w:pPr>
      <w:r>
        <w:rPr>
          <w:rStyle w:val="FootnoteReference"/>
        </w:rPr>
        <w:footnoteRef/>
      </w:r>
      <w:r>
        <w:t xml:space="preserve"> Fair Work Act 2009 (Cth) s 3.</w:t>
      </w:r>
    </w:p>
  </w:footnote>
  <w:footnote w:id="6">
    <w:p w14:paraId="45C7E09F" w14:textId="77777777" w:rsidR="00151D1D" w:rsidRDefault="00151D1D">
      <w:pPr>
        <w:pStyle w:val="FootnoteText"/>
      </w:pPr>
      <w:r>
        <w:rPr>
          <w:rStyle w:val="FootnoteReference"/>
        </w:rPr>
        <w:footnoteRef/>
      </w:r>
      <w:r>
        <w:t xml:space="preserve"> Fair Work Act 2009 (Cth) s 134.</w:t>
      </w:r>
    </w:p>
  </w:footnote>
  <w:footnote w:id="7">
    <w:p w14:paraId="2000FE8B" w14:textId="77777777" w:rsidR="00151D1D" w:rsidRDefault="00151D1D">
      <w:pPr>
        <w:pStyle w:val="FootnoteText"/>
      </w:pPr>
      <w:r>
        <w:rPr>
          <w:rStyle w:val="FootnoteReference"/>
        </w:rPr>
        <w:footnoteRef/>
      </w:r>
      <w:r>
        <w:t xml:space="preserve"> Fair Work Act 2009 (Cth) s 284.</w:t>
      </w:r>
    </w:p>
  </w:footnote>
  <w:footnote w:id="8">
    <w:p w14:paraId="6131D89C" w14:textId="77777777" w:rsidR="00151D1D" w:rsidRDefault="00151D1D">
      <w:pPr>
        <w:pStyle w:val="FootnoteText"/>
      </w:pPr>
      <w:r>
        <w:rPr>
          <w:rStyle w:val="FootnoteReference"/>
        </w:rPr>
        <w:footnoteRef/>
      </w:r>
      <w:r>
        <w:t xml:space="preserve"> Fair Work Act 2009 (Cth) s 284(1).</w:t>
      </w:r>
    </w:p>
  </w:footnote>
  <w:footnote w:id="9">
    <w:p w14:paraId="504FC8C4" w14:textId="77777777" w:rsidR="00151D1D" w:rsidRDefault="00151D1D" w:rsidP="00F54DDF">
      <w:pPr>
        <w:pStyle w:val="FootnoteText"/>
      </w:pPr>
      <w:r>
        <w:rPr>
          <w:rStyle w:val="FootnoteReference"/>
        </w:rPr>
        <w:footnoteRef/>
      </w:r>
      <w:r>
        <w:t xml:space="preserve"> </w:t>
      </w:r>
      <w:r w:rsidRPr="005D0E9A">
        <w:rPr>
          <w:rFonts w:cs="Arial"/>
        </w:rPr>
        <w:t>ABS</w:t>
      </w:r>
      <w:r>
        <w:rPr>
          <w:rFonts w:cs="Arial"/>
        </w:rPr>
        <w:t>, Cat. No. 6306,</w:t>
      </w:r>
      <w:r w:rsidRPr="005D0E9A">
        <w:rPr>
          <w:rFonts w:cs="Arial"/>
        </w:rPr>
        <w:t xml:space="preserve"> </w:t>
      </w:r>
      <w:r w:rsidRPr="00095296">
        <w:rPr>
          <w:rFonts w:cs="Arial"/>
          <w:i/>
        </w:rPr>
        <w:t>Employee Earnings and Hours</w:t>
      </w:r>
      <w:r w:rsidRPr="005D0E9A">
        <w:rPr>
          <w:rFonts w:cs="Arial"/>
        </w:rPr>
        <w:t>, May, 201</w:t>
      </w:r>
      <w:r>
        <w:rPr>
          <w:rFonts w:cs="Arial"/>
        </w:rPr>
        <w:t>8</w:t>
      </w:r>
    </w:p>
  </w:footnote>
  <w:footnote w:id="10">
    <w:p w14:paraId="1FD5D6DB" w14:textId="77777777" w:rsidR="00151D1D" w:rsidRDefault="00151D1D">
      <w:pPr>
        <w:pStyle w:val="FootnoteText"/>
      </w:pPr>
      <w:r>
        <w:rPr>
          <w:rStyle w:val="FootnoteReference"/>
        </w:rPr>
        <w:footnoteRef/>
      </w:r>
      <w:r>
        <w:t xml:space="preserve"> ibid</w:t>
      </w:r>
    </w:p>
  </w:footnote>
  <w:footnote w:id="11">
    <w:p w14:paraId="69A04641" w14:textId="77777777" w:rsidR="00151D1D" w:rsidRDefault="00151D1D" w:rsidP="00DB0068">
      <w:pPr>
        <w:pStyle w:val="FootnoteText"/>
      </w:pPr>
      <w:r>
        <w:rPr>
          <w:rStyle w:val="FootnoteReference"/>
        </w:rPr>
        <w:footnoteRef/>
      </w:r>
      <w:r>
        <w:t xml:space="preserve"> FWC Decision </w:t>
      </w:r>
      <w:r>
        <w:rPr>
          <w:b/>
          <w:bCs/>
        </w:rPr>
        <w:t xml:space="preserve">Annual Wage Review 2015–16 </w:t>
      </w:r>
      <w:r>
        <w:t>(C2016/1) para 449.</w:t>
      </w:r>
    </w:p>
  </w:footnote>
  <w:footnote w:id="12">
    <w:p w14:paraId="44B41C61" w14:textId="77777777" w:rsidR="00151D1D" w:rsidRDefault="00151D1D" w:rsidP="00DB0068">
      <w:pPr>
        <w:pStyle w:val="FootnoteText"/>
      </w:pPr>
      <w:r>
        <w:rPr>
          <w:rStyle w:val="FootnoteReference"/>
        </w:rPr>
        <w:footnoteRef/>
      </w:r>
      <w:r>
        <w:t xml:space="preserve"> ibid</w:t>
      </w:r>
    </w:p>
  </w:footnote>
  <w:footnote w:id="13">
    <w:p w14:paraId="4CB19D3D" w14:textId="77777777" w:rsidR="00151D1D" w:rsidRDefault="00151D1D">
      <w:pPr>
        <w:pStyle w:val="FootnoteText"/>
      </w:pPr>
      <w:r>
        <w:rPr>
          <w:rStyle w:val="FootnoteReference"/>
        </w:rPr>
        <w:footnoteRef/>
      </w:r>
      <w:r>
        <w:t xml:space="preserve"> </w:t>
      </w:r>
      <w:r w:rsidRPr="005D0E9A">
        <w:rPr>
          <w:rFonts w:cs="Arial"/>
        </w:rPr>
        <w:t>ABS</w:t>
      </w:r>
      <w:r>
        <w:rPr>
          <w:rFonts w:cs="Arial"/>
        </w:rPr>
        <w:t>, Cat. No. 6306,</w:t>
      </w:r>
      <w:r w:rsidRPr="005D0E9A">
        <w:rPr>
          <w:rFonts w:cs="Arial"/>
        </w:rPr>
        <w:t xml:space="preserve"> </w:t>
      </w:r>
      <w:r w:rsidRPr="00095296">
        <w:rPr>
          <w:rFonts w:cs="Arial"/>
          <w:i/>
        </w:rPr>
        <w:t>Employee Earnings and Hours</w:t>
      </w:r>
      <w:r w:rsidRPr="005D0E9A">
        <w:rPr>
          <w:rFonts w:cs="Arial"/>
        </w:rPr>
        <w:t>, May, 201</w:t>
      </w:r>
      <w:r>
        <w:rPr>
          <w:rFonts w:cs="Arial"/>
        </w:rPr>
        <w:t>8</w:t>
      </w:r>
    </w:p>
  </w:footnote>
  <w:footnote w:id="14">
    <w:p w14:paraId="54EA0B7E" w14:textId="77777777" w:rsidR="00151D1D" w:rsidRDefault="00151D1D" w:rsidP="006C44B6">
      <w:pPr>
        <w:pStyle w:val="FootnoteText"/>
      </w:pPr>
      <w:r>
        <w:rPr>
          <w:rStyle w:val="FootnoteReference"/>
        </w:rPr>
        <w:footnoteRef/>
      </w:r>
      <w:r>
        <w:t xml:space="preserve"> </w:t>
      </w:r>
      <w:r>
        <w:rPr>
          <w:rFonts w:ascii="Arial" w:hAnsi="Arial" w:cs="Arial"/>
          <w:sz w:val="18"/>
          <w:szCs w:val="18"/>
        </w:rPr>
        <w:t>ABS, Cat.No. 6291 Labour Force, Detailed, Nov 2017</w:t>
      </w:r>
    </w:p>
  </w:footnote>
  <w:footnote w:id="15">
    <w:p w14:paraId="31C7D4EA" w14:textId="77777777" w:rsidR="00151D1D" w:rsidRDefault="00151D1D" w:rsidP="005A2CE4">
      <w:pPr>
        <w:pStyle w:val="FootnoteText"/>
      </w:pPr>
      <w:r>
        <w:rPr>
          <w:rStyle w:val="FootnoteReference"/>
        </w:rPr>
        <w:footnoteRef/>
      </w:r>
      <w:r>
        <w:t xml:space="preserve"> Forecasts are taken from the </w:t>
      </w:r>
      <w:r w:rsidRPr="00405BF4">
        <w:t>Mid-year Economic and Fiscal Outlook (MYEFO)</w:t>
      </w:r>
      <w:r>
        <w:t>, Commonwealth of Australia (released 17 December 2018).</w:t>
      </w:r>
    </w:p>
  </w:footnote>
  <w:footnote w:id="16">
    <w:p w14:paraId="5A3FDD50" w14:textId="77777777" w:rsidR="00151D1D" w:rsidRDefault="00151D1D" w:rsidP="005A2CE4">
      <w:pPr>
        <w:pStyle w:val="FootnoteText"/>
      </w:pPr>
      <w:r>
        <w:rPr>
          <w:rStyle w:val="FootnoteReference"/>
        </w:rPr>
        <w:footnoteRef/>
      </w:r>
      <w:r>
        <w:t xml:space="preserve"> Forecasts and data are obtained from the Queensland Government’s </w:t>
      </w:r>
      <w:r w:rsidRPr="00405BF4">
        <w:t>201</w:t>
      </w:r>
      <w:r>
        <w:t>8</w:t>
      </w:r>
      <w:r w:rsidRPr="00405BF4">
        <w:t>–1</w:t>
      </w:r>
      <w:r>
        <w:t>9</w:t>
      </w:r>
      <w:r w:rsidRPr="00405BF4">
        <w:t xml:space="preserve"> Mid-Year Fiscal and Economic Review (MYFER)</w:t>
      </w:r>
      <w:r>
        <w:t>, December 2018.</w:t>
      </w:r>
    </w:p>
  </w:footnote>
  <w:footnote w:id="17">
    <w:p w14:paraId="5F1A2AC4" w14:textId="153FFF33" w:rsidR="00151D1D" w:rsidRDefault="00151D1D" w:rsidP="005A2CE4">
      <w:pPr>
        <w:pStyle w:val="FootnoteText"/>
      </w:pPr>
      <w:r>
        <w:rPr>
          <w:rStyle w:val="FootnoteReference"/>
        </w:rPr>
        <w:footnoteRef/>
      </w:r>
      <w:r>
        <w:t xml:space="preserve"> Based on September quarter 2018 Queensland State Accounts.</w:t>
      </w:r>
    </w:p>
  </w:footnote>
  <w:footnote w:id="18">
    <w:p w14:paraId="141E40D0" w14:textId="77777777" w:rsidR="00C32564" w:rsidRDefault="00C32564" w:rsidP="00C32564">
      <w:pPr>
        <w:pStyle w:val="FootnoteText"/>
      </w:pPr>
      <w:r>
        <w:rPr>
          <w:rStyle w:val="FootnoteReference"/>
        </w:rPr>
        <w:footnoteRef/>
      </w:r>
      <w:r>
        <w:t xml:space="preserve"> FWC Decision </w:t>
      </w:r>
      <w:r>
        <w:rPr>
          <w:b/>
          <w:bCs/>
        </w:rPr>
        <w:t xml:space="preserve">Annual Wage Review 2015–16 </w:t>
      </w:r>
      <w:r>
        <w:t>(C2015/1) para 492.</w:t>
      </w:r>
    </w:p>
  </w:footnote>
  <w:footnote w:id="19">
    <w:p w14:paraId="67A93105" w14:textId="77777777" w:rsidR="00C32564" w:rsidRDefault="00C32564" w:rsidP="00C32564">
      <w:pPr>
        <w:pStyle w:val="FootnoteText"/>
      </w:pPr>
      <w:r>
        <w:rPr>
          <w:rStyle w:val="FootnoteReference"/>
        </w:rPr>
        <w:footnoteRef/>
      </w:r>
      <w:r>
        <w:t xml:space="preserve"> FWC Statement </w:t>
      </w:r>
      <w:r w:rsidRPr="00B867AB">
        <w:rPr>
          <w:b/>
        </w:rPr>
        <w:t>Annual Wage Review 2016-17</w:t>
      </w:r>
      <w:r>
        <w:t xml:space="preserve"> (C2017/1) para 9.</w:t>
      </w:r>
    </w:p>
  </w:footnote>
  <w:footnote w:id="20">
    <w:p w14:paraId="60CA7544" w14:textId="77777777" w:rsidR="00C32564" w:rsidRDefault="00C32564" w:rsidP="00C32564">
      <w:pPr>
        <w:pStyle w:val="FootnoteText"/>
      </w:pPr>
      <w:r>
        <w:rPr>
          <w:rStyle w:val="FootnoteReference"/>
        </w:rPr>
        <w:footnoteRef/>
      </w:r>
      <w:r>
        <w:t xml:space="preserve"> </w:t>
      </w:r>
      <w:r w:rsidRPr="005B55D2">
        <w:t>Bishop J (2018),</w:t>
      </w:r>
      <w:r>
        <w:t xml:space="preserve"> </w:t>
      </w:r>
      <w:r w:rsidRPr="000151DE">
        <w:t>The Effect of Minimum Wage Increases on Wages, Hours Worked and Job Loss</w:t>
      </w:r>
      <w:r>
        <w:t>, Reserve Bank of Australia, Bulletin, September 2018</w:t>
      </w:r>
    </w:p>
  </w:footnote>
  <w:footnote w:id="21">
    <w:p w14:paraId="09E77FD7" w14:textId="77777777" w:rsidR="00151D1D" w:rsidRDefault="00151D1D" w:rsidP="005A2CE4">
      <w:pPr>
        <w:pStyle w:val="FootnoteText"/>
      </w:pPr>
      <w:r>
        <w:rPr>
          <w:rStyle w:val="FootnoteReference"/>
        </w:rPr>
        <w:footnoteRef/>
      </w:r>
      <w:r>
        <w:t xml:space="preserve"> Lowe, P. (2018).  Trust and Prosperity, Address to CEDA Annual Dinner, Melbourne, 20 November.</w:t>
      </w:r>
    </w:p>
  </w:footnote>
  <w:footnote w:id="22">
    <w:p w14:paraId="11201E65" w14:textId="77777777" w:rsidR="00151D1D" w:rsidRDefault="00151D1D" w:rsidP="005A2CE4">
      <w:pPr>
        <w:pStyle w:val="FootnoteText"/>
      </w:pPr>
      <w:r>
        <w:rPr>
          <w:rStyle w:val="FootnoteReference"/>
        </w:rPr>
        <w:footnoteRef/>
      </w:r>
      <w:r>
        <w:t xml:space="preserve"> </w:t>
      </w:r>
      <w:r w:rsidRPr="005D0E9A">
        <w:rPr>
          <w:rFonts w:cs="Arial"/>
        </w:rPr>
        <w:t>ABS</w:t>
      </w:r>
      <w:r>
        <w:rPr>
          <w:rFonts w:cs="Arial"/>
        </w:rPr>
        <w:t>, Cat. No. 6306</w:t>
      </w:r>
      <w:r w:rsidRPr="005D0E9A">
        <w:rPr>
          <w:rFonts w:cs="Arial"/>
        </w:rPr>
        <w:t xml:space="preserve"> </w:t>
      </w:r>
      <w:r w:rsidRPr="00095296">
        <w:rPr>
          <w:rFonts w:cs="Arial"/>
          <w:i/>
        </w:rPr>
        <w:t>Employee Earnings and Hours</w:t>
      </w:r>
      <w:r w:rsidRPr="005D0E9A">
        <w:rPr>
          <w:rFonts w:cs="Arial"/>
        </w:rPr>
        <w:t>, May, 201</w:t>
      </w:r>
      <w:r>
        <w:rPr>
          <w:rFonts w:cs="Arial"/>
        </w:rPr>
        <w:t>8</w:t>
      </w:r>
    </w:p>
  </w:footnote>
  <w:footnote w:id="23">
    <w:p w14:paraId="183AC084" w14:textId="77777777" w:rsidR="00151D1D" w:rsidRDefault="00151D1D" w:rsidP="005A2CE4">
      <w:pPr>
        <w:pStyle w:val="FootnoteText"/>
      </w:pPr>
      <w:r>
        <w:rPr>
          <w:rStyle w:val="FootnoteReference"/>
        </w:rPr>
        <w:footnoteRef/>
      </w:r>
      <w:r>
        <w:t xml:space="preserve"> Manufacturing and Associated Industries and Occupations Award 2010</w:t>
      </w:r>
    </w:p>
  </w:footnote>
  <w:footnote w:id="24">
    <w:p w14:paraId="2D4E065B" w14:textId="77777777" w:rsidR="00151D1D" w:rsidRDefault="00151D1D">
      <w:pPr>
        <w:pStyle w:val="FootnoteText"/>
      </w:pPr>
      <w:r>
        <w:rPr>
          <w:rStyle w:val="FootnoteReference"/>
        </w:rPr>
        <w:footnoteRef/>
      </w:r>
      <w:r>
        <w:t xml:space="preserve"> FWC Decision </w:t>
      </w:r>
      <w:r>
        <w:rPr>
          <w:b/>
          <w:bCs/>
        </w:rPr>
        <w:t xml:space="preserve">Annual Wage Review 2017–18 </w:t>
      </w:r>
      <w:r>
        <w:t>(C2018/1) para 267</w:t>
      </w:r>
    </w:p>
  </w:footnote>
  <w:footnote w:id="25">
    <w:p w14:paraId="2556A521" w14:textId="77777777" w:rsidR="00151D1D" w:rsidRDefault="00151D1D">
      <w:pPr>
        <w:pStyle w:val="FootnoteText"/>
      </w:pPr>
      <w:r>
        <w:rPr>
          <w:rStyle w:val="FootnoteReference"/>
        </w:rPr>
        <w:footnoteRef/>
      </w:r>
      <w:r>
        <w:t xml:space="preserve"> FWC Decision </w:t>
      </w:r>
      <w:r>
        <w:rPr>
          <w:b/>
          <w:bCs/>
        </w:rPr>
        <w:t xml:space="preserve">Annual Wage Review 2017–18 </w:t>
      </w:r>
      <w:r>
        <w:t>(C2018/1) para 435</w:t>
      </w:r>
    </w:p>
  </w:footnote>
  <w:footnote w:id="26">
    <w:p w14:paraId="0809B530" w14:textId="77777777" w:rsidR="00151D1D" w:rsidRDefault="00151D1D">
      <w:pPr>
        <w:pStyle w:val="FootnoteText"/>
      </w:pPr>
      <w:r>
        <w:rPr>
          <w:rStyle w:val="FootnoteReference"/>
        </w:rPr>
        <w:footnoteRef/>
      </w:r>
      <w:r>
        <w:t xml:space="preserve"> FWC Decision </w:t>
      </w:r>
      <w:r>
        <w:rPr>
          <w:b/>
          <w:bCs/>
        </w:rPr>
        <w:t xml:space="preserve">Annual Wage Review 2017–18 </w:t>
      </w:r>
      <w:r>
        <w:t>(C2018/1) para 417</w:t>
      </w:r>
    </w:p>
  </w:footnote>
  <w:footnote w:id="27">
    <w:p w14:paraId="7778AFE0" w14:textId="77777777" w:rsidR="00151D1D" w:rsidRDefault="00151D1D">
      <w:pPr>
        <w:pStyle w:val="FootnoteText"/>
      </w:pPr>
      <w:r>
        <w:rPr>
          <w:rStyle w:val="FootnoteReference"/>
        </w:rPr>
        <w:footnoteRef/>
      </w:r>
      <w:r>
        <w:t xml:space="preserve"> ibid</w:t>
      </w:r>
    </w:p>
  </w:footnote>
  <w:footnote w:id="28">
    <w:p w14:paraId="6C00227A" w14:textId="77777777" w:rsidR="00151D1D" w:rsidRDefault="00151D1D">
      <w:pPr>
        <w:pStyle w:val="FootnoteText"/>
      </w:pPr>
      <w:r>
        <w:rPr>
          <w:rStyle w:val="FootnoteReference"/>
        </w:rPr>
        <w:footnoteRef/>
      </w:r>
      <w:r>
        <w:t xml:space="preserve"> FWC Decision </w:t>
      </w:r>
      <w:r>
        <w:rPr>
          <w:b/>
          <w:bCs/>
        </w:rPr>
        <w:t xml:space="preserve">Annual Wage Review 2017–18 </w:t>
      </w:r>
      <w:r>
        <w:t>(C2018/1) para 436</w:t>
      </w:r>
    </w:p>
  </w:footnote>
  <w:footnote w:id="29">
    <w:p w14:paraId="5C379722" w14:textId="77777777" w:rsidR="00151D1D" w:rsidRDefault="00151D1D">
      <w:pPr>
        <w:pStyle w:val="FootnoteText"/>
      </w:pPr>
      <w:r>
        <w:rPr>
          <w:rStyle w:val="FootnoteReference"/>
        </w:rPr>
        <w:footnoteRef/>
      </w:r>
      <w:r>
        <w:t xml:space="preserve"> Queensland Government submission to AWR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23788"/>
      <w:docPartObj>
        <w:docPartGallery w:val="Page Numbers (Top of Page)"/>
        <w:docPartUnique/>
      </w:docPartObj>
    </w:sdtPr>
    <w:sdtEndPr>
      <w:rPr>
        <w:noProof/>
      </w:rPr>
    </w:sdtEndPr>
    <w:sdtContent>
      <w:p w14:paraId="2E56EE27" w14:textId="0A724762" w:rsidR="00151D1D" w:rsidRDefault="00151D1D">
        <w:pPr>
          <w:pStyle w:val="Header"/>
          <w:jc w:val="center"/>
        </w:pPr>
        <w:r>
          <w:fldChar w:fldCharType="begin"/>
        </w:r>
        <w:r>
          <w:instrText xml:space="preserve"> PAGE   \* MERGEFORMAT </w:instrText>
        </w:r>
        <w:r>
          <w:fldChar w:fldCharType="separate"/>
        </w:r>
        <w:r w:rsidR="00D31179">
          <w:rPr>
            <w:noProof/>
          </w:rPr>
          <w:t>17</w:t>
        </w:r>
        <w:r>
          <w:rPr>
            <w:noProof/>
          </w:rPr>
          <w:fldChar w:fldCharType="end"/>
        </w:r>
      </w:p>
    </w:sdtContent>
  </w:sdt>
  <w:p w14:paraId="57FB2695" w14:textId="77777777" w:rsidR="00151D1D" w:rsidRDefault="00151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866"/>
    <w:multiLevelType w:val="hybridMultilevel"/>
    <w:tmpl w:val="6B2AB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C76466"/>
    <w:multiLevelType w:val="hybridMultilevel"/>
    <w:tmpl w:val="9848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A57882"/>
    <w:multiLevelType w:val="hybridMultilevel"/>
    <w:tmpl w:val="1BAAC8AC"/>
    <w:lvl w:ilvl="0" w:tplc="B450F58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772A49"/>
    <w:multiLevelType w:val="hybridMultilevel"/>
    <w:tmpl w:val="DA904A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0811AE"/>
    <w:multiLevelType w:val="multilevel"/>
    <w:tmpl w:val="294A4B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9D43BB1"/>
    <w:multiLevelType w:val="hybridMultilevel"/>
    <w:tmpl w:val="88C09DD0"/>
    <w:lvl w:ilvl="0" w:tplc="EAE6202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ED01E3"/>
    <w:multiLevelType w:val="hybridMultilevel"/>
    <w:tmpl w:val="3BE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95C1101"/>
    <w:multiLevelType w:val="hybridMultilevel"/>
    <w:tmpl w:val="D17AD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BB423A"/>
    <w:multiLevelType w:val="hybridMultilevel"/>
    <w:tmpl w:val="CC7AF01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3867A1B"/>
    <w:multiLevelType w:val="hybridMultilevel"/>
    <w:tmpl w:val="80DA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87429F"/>
    <w:multiLevelType w:val="hybridMultilevel"/>
    <w:tmpl w:val="FE56D69A"/>
    <w:lvl w:ilvl="0" w:tplc="B450F58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0A0092D"/>
    <w:multiLevelType w:val="hybridMultilevel"/>
    <w:tmpl w:val="BD62CEE8"/>
    <w:lvl w:ilvl="0" w:tplc="F076832E">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start w:val="1"/>
      <w:numFmt w:val="lowerLetter"/>
      <w:lvlText w:val="%5."/>
      <w:lvlJc w:val="left"/>
      <w:pPr>
        <w:tabs>
          <w:tab w:val="num" w:pos="1069"/>
        </w:tabs>
        <w:ind w:left="1069"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760A4063"/>
    <w:multiLevelType w:val="hybridMultilevel"/>
    <w:tmpl w:val="43AC97E8"/>
    <w:lvl w:ilvl="0" w:tplc="0C36D1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C371A6D"/>
    <w:multiLevelType w:val="hybridMultilevel"/>
    <w:tmpl w:val="DA34B0A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nsid w:val="7C6C0172"/>
    <w:multiLevelType w:val="hybridMultilevel"/>
    <w:tmpl w:val="41D4D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15"/>
  </w:num>
  <w:num w:numId="5">
    <w:abstractNumId w:val="2"/>
  </w:num>
  <w:num w:numId="6">
    <w:abstractNumId w:val="11"/>
  </w:num>
  <w:num w:numId="7">
    <w:abstractNumId w:val="6"/>
  </w:num>
  <w:num w:numId="8">
    <w:abstractNumId w:val="13"/>
    <w:lvlOverride w:ilvl="0">
      <w:startOverride w:val="1"/>
    </w:lvlOverride>
  </w:num>
  <w:num w:numId="9">
    <w:abstractNumId w:val="8"/>
  </w:num>
  <w:num w:numId="10">
    <w:abstractNumId w:val="10"/>
  </w:num>
  <w:num w:numId="11">
    <w:abstractNumId w:val="4"/>
  </w:num>
  <w:num w:numId="12">
    <w:abstractNumId w:val="3"/>
  </w:num>
  <w:num w:numId="13">
    <w:abstractNumId w:val="1"/>
  </w:num>
  <w:num w:numId="14">
    <w:abstractNumId w:val="9"/>
  </w:num>
  <w:num w:numId="15">
    <w:abstractNumId w:val="7"/>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48"/>
    <w:rsid w:val="00003E3A"/>
    <w:rsid w:val="00005289"/>
    <w:rsid w:val="000070A5"/>
    <w:rsid w:val="0000783F"/>
    <w:rsid w:val="00010D9A"/>
    <w:rsid w:val="00012343"/>
    <w:rsid w:val="000135B6"/>
    <w:rsid w:val="00013780"/>
    <w:rsid w:val="00016807"/>
    <w:rsid w:val="00024648"/>
    <w:rsid w:val="000350D9"/>
    <w:rsid w:val="00037022"/>
    <w:rsid w:val="00051066"/>
    <w:rsid w:val="00053163"/>
    <w:rsid w:val="000535A2"/>
    <w:rsid w:val="00056DAB"/>
    <w:rsid w:val="00061DDD"/>
    <w:rsid w:val="00063166"/>
    <w:rsid w:val="00063CB0"/>
    <w:rsid w:val="000647A2"/>
    <w:rsid w:val="00070AC7"/>
    <w:rsid w:val="00073ED2"/>
    <w:rsid w:val="00075C8A"/>
    <w:rsid w:val="000800EC"/>
    <w:rsid w:val="000825CE"/>
    <w:rsid w:val="00083A0D"/>
    <w:rsid w:val="00086CC3"/>
    <w:rsid w:val="0008714E"/>
    <w:rsid w:val="00087355"/>
    <w:rsid w:val="0009103A"/>
    <w:rsid w:val="00095296"/>
    <w:rsid w:val="000A34DA"/>
    <w:rsid w:val="000A7DA1"/>
    <w:rsid w:val="000B51EC"/>
    <w:rsid w:val="000B7B87"/>
    <w:rsid w:val="000C4E7B"/>
    <w:rsid w:val="000D51BF"/>
    <w:rsid w:val="000D7881"/>
    <w:rsid w:val="000E0D29"/>
    <w:rsid w:val="000E2619"/>
    <w:rsid w:val="000E2AD8"/>
    <w:rsid w:val="000E59BB"/>
    <w:rsid w:val="000F0A16"/>
    <w:rsid w:val="000F346C"/>
    <w:rsid w:val="000F4120"/>
    <w:rsid w:val="000F47B0"/>
    <w:rsid w:val="00104E27"/>
    <w:rsid w:val="0010766A"/>
    <w:rsid w:val="00110F40"/>
    <w:rsid w:val="00113C12"/>
    <w:rsid w:val="00113E81"/>
    <w:rsid w:val="001165E8"/>
    <w:rsid w:val="00120D12"/>
    <w:rsid w:val="00120E4A"/>
    <w:rsid w:val="0012239D"/>
    <w:rsid w:val="00131047"/>
    <w:rsid w:val="00131079"/>
    <w:rsid w:val="0013601D"/>
    <w:rsid w:val="00137D01"/>
    <w:rsid w:val="00142B9F"/>
    <w:rsid w:val="0014304F"/>
    <w:rsid w:val="001440BF"/>
    <w:rsid w:val="00146101"/>
    <w:rsid w:val="00147B71"/>
    <w:rsid w:val="00147CD8"/>
    <w:rsid w:val="00151D1D"/>
    <w:rsid w:val="00156D12"/>
    <w:rsid w:val="00157A2C"/>
    <w:rsid w:val="00163637"/>
    <w:rsid w:val="001636BB"/>
    <w:rsid w:val="001678E2"/>
    <w:rsid w:val="00167B46"/>
    <w:rsid w:val="00171562"/>
    <w:rsid w:val="001748D1"/>
    <w:rsid w:val="00176E58"/>
    <w:rsid w:val="00185506"/>
    <w:rsid w:val="00193474"/>
    <w:rsid w:val="00194C98"/>
    <w:rsid w:val="00195971"/>
    <w:rsid w:val="001A4B1B"/>
    <w:rsid w:val="001B09A5"/>
    <w:rsid w:val="001B1102"/>
    <w:rsid w:val="001B2E09"/>
    <w:rsid w:val="001C0A5B"/>
    <w:rsid w:val="001C36B1"/>
    <w:rsid w:val="001D15A0"/>
    <w:rsid w:val="001D1F11"/>
    <w:rsid w:val="001D5949"/>
    <w:rsid w:val="001D596C"/>
    <w:rsid w:val="001E4500"/>
    <w:rsid w:val="001E463E"/>
    <w:rsid w:val="001E52E0"/>
    <w:rsid w:val="001E76B4"/>
    <w:rsid w:val="001F7B94"/>
    <w:rsid w:val="002001A9"/>
    <w:rsid w:val="00202A0E"/>
    <w:rsid w:val="00203623"/>
    <w:rsid w:val="00205969"/>
    <w:rsid w:val="00206F0E"/>
    <w:rsid w:val="002071C3"/>
    <w:rsid w:val="002072B0"/>
    <w:rsid w:val="00212739"/>
    <w:rsid w:val="002153D6"/>
    <w:rsid w:val="002203F7"/>
    <w:rsid w:val="00221CF7"/>
    <w:rsid w:val="00231CDD"/>
    <w:rsid w:val="00234006"/>
    <w:rsid w:val="002345BD"/>
    <w:rsid w:val="002353AE"/>
    <w:rsid w:val="002366F9"/>
    <w:rsid w:val="002442BE"/>
    <w:rsid w:val="002452E7"/>
    <w:rsid w:val="00251B37"/>
    <w:rsid w:val="002532BF"/>
    <w:rsid w:val="002559D8"/>
    <w:rsid w:val="00255DCE"/>
    <w:rsid w:val="00256B0A"/>
    <w:rsid w:val="002675C4"/>
    <w:rsid w:val="002710D6"/>
    <w:rsid w:val="0027228F"/>
    <w:rsid w:val="00272590"/>
    <w:rsid w:val="002743DB"/>
    <w:rsid w:val="00274506"/>
    <w:rsid w:val="00276B14"/>
    <w:rsid w:val="00277B89"/>
    <w:rsid w:val="0028018B"/>
    <w:rsid w:val="002805F9"/>
    <w:rsid w:val="00280C9A"/>
    <w:rsid w:val="002810F6"/>
    <w:rsid w:val="00282347"/>
    <w:rsid w:val="00283446"/>
    <w:rsid w:val="00285438"/>
    <w:rsid w:val="0028696D"/>
    <w:rsid w:val="00287FE4"/>
    <w:rsid w:val="002916B0"/>
    <w:rsid w:val="00294167"/>
    <w:rsid w:val="002A03B9"/>
    <w:rsid w:val="002A0972"/>
    <w:rsid w:val="002A284B"/>
    <w:rsid w:val="002A3DE3"/>
    <w:rsid w:val="002A5B15"/>
    <w:rsid w:val="002B7077"/>
    <w:rsid w:val="002C1499"/>
    <w:rsid w:val="002C61EF"/>
    <w:rsid w:val="002D0798"/>
    <w:rsid w:val="002D5105"/>
    <w:rsid w:val="002E026A"/>
    <w:rsid w:val="002E303B"/>
    <w:rsid w:val="002E4A3B"/>
    <w:rsid w:val="002E54C0"/>
    <w:rsid w:val="002E65A1"/>
    <w:rsid w:val="002F1FBB"/>
    <w:rsid w:val="002F3806"/>
    <w:rsid w:val="002F39D7"/>
    <w:rsid w:val="002F4D7A"/>
    <w:rsid w:val="0030415E"/>
    <w:rsid w:val="00307010"/>
    <w:rsid w:val="0031074A"/>
    <w:rsid w:val="00311C05"/>
    <w:rsid w:val="00322B2B"/>
    <w:rsid w:val="00322D75"/>
    <w:rsid w:val="003254A7"/>
    <w:rsid w:val="00330C81"/>
    <w:rsid w:val="003315AC"/>
    <w:rsid w:val="0033189A"/>
    <w:rsid w:val="00331AC5"/>
    <w:rsid w:val="00335BAB"/>
    <w:rsid w:val="00345DA4"/>
    <w:rsid w:val="00350BC9"/>
    <w:rsid w:val="0035158A"/>
    <w:rsid w:val="003548A4"/>
    <w:rsid w:val="00364AF5"/>
    <w:rsid w:val="00375394"/>
    <w:rsid w:val="00377DCE"/>
    <w:rsid w:val="00377E29"/>
    <w:rsid w:val="0038435F"/>
    <w:rsid w:val="00386099"/>
    <w:rsid w:val="00386486"/>
    <w:rsid w:val="00386693"/>
    <w:rsid w:val="00386972"/>
    <w:rsid w:val="003942AC"/>
    <w:rsid w:val="003957AC"/>
    <w:rsid w:val="0039624D"/>
    <w:rsid w:val="003A33B1"/>
    <w:rsid w:val="003A378F"/>
    <w:rsid w:val="003A460A"/>
    <w:rsid w:val="003B0AD7"/>
    <w:rsid w:val="003B0CC7"/>
    <w:rsid w:val="003B29BC"/>
    <w:rsid w:val="003B5C0C"/>
    <w:rsid w:val="003C0F78"/>
    <w:rsid w:val="003C5C39"/>
    <w:rsid w:val="003C60B8"/>
    <w:rsid w:val="003D6339"/>
    <w:rsid w:val="003D7C60"/>
    <w:rsid w:val="003D7CC0"/>
    <w:rsid w:val="003E112A"/>
    <w:rsid w:val="003E4D14"/>
    <w:rsid w:val="003E5172"/>
    <w:rsid w:val="003F6504"/>
    <w:rsid w:val="003F7AB7"/>
    <w:rsid w:val="00400144"/>
    <w:rsid w:val="004018AA"/>
    <w:rsid w:val="0040584D"/>
    <w:rsid w:val="00405BF4"/>
    <w:rsid w:val="004066D7"/>
    <w:rsid w:val="004106C9"/>
    <w:rsid w:val="00411D31"/>
    <w:rsid w:val="00414390"/>
    <w:rsid w:val="00417917"/>
    <w:rsid w:val="00417961"/>
    <w:rsid w:val="00420C6F"/>
    <w:rsid w:val="004210B5"/>
    <w:rsid w:val="004219E9"/>
    <w:rsid w:val="0042255F"/>
    <w:rsid w:val="00423646"/>
    <w:rsid w:val="0042404C"/>
    <w:rsid w:val="004262CF"/>
    <w:rsid w:val="004360E1"/>
    <w:rsid w:val="00436BEE"/>
    <w:rsid w:val="004371C7"/>
    <w:rsid w:val="004425E9"/>
    <w:rsid w:val="0044459A"/>
    <w:rsid w:val="00447254"/>
    <w:rsid w:val="00447EEA"/>
    <w:rsid w:val="00453261"/>
    <w:rsid w:val="00461F08"/>
    <w:rsid w:val="00462462"/>
    <w:rsid w:val="004650D1"/>
    <w:rsid w:val="00472898"/>
    <w:rsid w:val="004744AF"/>
    <w:rsid w:val="00484194"/>
    <w:rsid w:val="004915DA"/>
    <w:rsid w:val="004A3FED"/>
    <w:rsid w:val="004B22E7"/>
    <w:rsid w:val="004B70AB"/>
    <w:rsid w:val="004B77A1"/>
    <w:rsid w:val="004C2831"/>
    <w:rsid w:val="004C6DD9"/>
    <w:rsid w:val="004D7329"/>
    <w:rsid w:val="004E047B"/>
    <w:rsid w:val="004E0F00"/>
    <w:rsid w:val="004E4C7D"/>
    <w:rsid w:val="004E5A92"/>
    <w:rsid w:val="004F03D8"/>
    <w:rsid w:val="004F1E3B"/>
    <w:rsid w:val="004F2505"/>
    <w:rsid w:val="004F3BD8"/>
    <w:rsid w:val="004F588E"/>
    <w:rsid w:val="005005AB"/>
    <w:rsid w:val="00504A78"/>
    <w:rsid w:val="0050682D"/>
    <w:rsid w:val="0050731C"/>
    <w:rsid w:val="00511C94"/>
    <w:rsid w:val="00511EE9"/>
    <w:rsid w:val="0052487D"/>
    <w:rsid w:val="00524E80"/>
    <w:rsid w:val="00531765"/>
    <w:rsid w:val="0053627F"/>
    <w:rsid w:val="005372C4"/>
    <w:rsid w:val="0053782E"/>
    <w:rsid w:val="00540DE7"/>
    <w:rsid w:val="00541EAB"/>
    <w:rsid w:val="0054252A"/>
    <w:rsid w:val="00545B81"/>
    <w:rsid w:val="00545C6F"/>
    <w:rsid w:val="00545CEF"/>
    <w:rsid w:val="00546E4B"/>
    <w:rsid w:val="00547737"/>
    <w:rsid w:val="00550F42"/>
    <w:rsid w:val="0055182C"/>
    <w:rsid w:val="005524B7"/>
    <w:rsid w:val="005524D3"/>
    <w:rsid w:val="00553057"/>
    <w:rsid w:val="005534DB"/>
    <w:rsid w:val="005560AC"/>
    <w:rsid w:val="00557AF7"/>
    <w:rsid w:val="005664BA"/>
    <w:rsid w:val="005706F6"/>
    <w:rsid w:val="0057111A"/>
    <w:rsid w:val="005718E3"/>
    <w:rsid w:val="005759D1"/>
    <w:rsid w:val="00575BDC"/>
    <w:rsid w:val="00577912"/>
    <w:rsid w:val="005849C3"/>
    <w:rsid w:val="005865F4"/>
    <w:rsid w:val="00590A54"/>
    <w:rsid w:val="00590F5F"/>
    <w:rsid w:val="00590FCD"/>
    <w:rsid w:val="00591607"/>
    <w:rsid w:val="00593226"/>
    <w:rsid w:val="005939A3"/>
    <w:rsid w:val="0059409C"/>
    <w:rsid w:val="005A155C"/>
    <w:rsid w:val="005A2CE4"/>
    <w:rsid w:val="005A64B8"/>
    <w:rsid w:val="005A7077"/>
    <w:rsid w:val="005A761F"/>
    <w:rsid w:val="005C1304"/>
    <w:rsid w:val="005C25DE"/>
    <w:rsid w:val="005C27AF"/>
    <w:rsid w:val="005C2916"/>
    <w:rsid w:val="005C7E10"/>
    <w:rsid w:val="005D0E9A"/>
    <w:rsid w:val="005D1DB1"/>
    <w:rsid w:val="005D2BFE"/>
    <w:rsid w:val="005D70F9"/>
    <w:rsid w:val="005D7B8B"/>
    <w:rsid w:val="005E7158"/>
    <w:rsid w:val="005E749B"/>
    <w:rsid w:val="005E7B59"/>
    <w:rsid w:val="005F4C59"/>
    <w:rsid w:val="005F59CB"/>
    <w:rsid w:val="005F7FF6"/>
    <w:rsid w:val="006013FD"/>
    <w:rsid w:val="006025CC"/>
    <w:rsid w:val="006054E1"/>
    <w:rsid w:val="00606C7B"/>
    <w:rsid w:val="00607105"/>
    <w:rsid w:val="00610FFE"/>
    <w:rsid w:val="00612346"/>
    <w:rsid w:val="0061281C"/>
    <w:rsid w:val="006173AE"/>
    <w:rsid w:val="006202C5"/>
    <w:rsid w:val="006208A8"/>
    <w:rsid w:val="00622DC4"/>
    <w:rsid w:val="0062568D"/>
    <w:rsid w:val="00625BB0"/>
    <w:rsid w:val="00634C19"/>
    <w:rsid w:val="0064011E"/>
    <w:rsid w:val="006561A7"/>
    <w:rsid w:val="00656267"/>
    <w:rsid w:val="0065727D"/>
    <w:rsid w:val="0066000A"/>
    <w:rsid w:val="00660A55"/>
    <w:rsid w:val="006616C6"/>
    <w:rsid w:val="00664E13"/>
    <w:rsid w:val="006650EC"/>
    <w:rsid w:val="00667DB7"/>
    <w:rsid w:val="00673000"/>
    <w:rsid w:val="00674322"/>
    <w:rsid w:val="00675280"/>
    <w:rsid w:val="00675C93"/>
    <w:rsid w:val="00680C98"/>
    <w:rsid w:val="0068368C"/>
    <w:rsid w:val="00686ACF"/>
    <w:rsid w:val="006908FB"/>
    <w:rsid w:val="0069255F"/>
    <w:rsid w:val="00696670"/>
    <w:rsid w:val="00696B2A"/>
    <w:rsid w:val="006977EC"/>
    <w:rsid w:val="00697CF6"/>
    <w:rsid w:val="006A4F46"/>
    <w:rsid w:val="006B129F"/>
    <w:rsid w:val="006B272F"/>
    <w:rsid w:val="006B425F"/>
    <w:rsid w:val="006B50F8"/>
    <w:rsid w:val="006C0195"/>
    <w:rsid w:val="006C374E"/>
    <w:rsid w:val="006C44B6"/>
    <w:rsid w:val="006D043F"/>
    <w:rsid w:val="006D1BCC"/>
    <w:rsid w:val="006D3888"/>
    <w:rsid w:val="006D62E6"/>
    <w:rsid w:val="006D7607"/>
    <w:rsid w:val="006E61A2"/>
    <w:rsid w:val="006F196A"/>
    <w:rsid w:val="006F3A20"/>
    <w:rsid w:val="006F5637"/>
    <w:rsid w:val="006F6B34"/>
    <w:rsid w:val="007009BB"/>
    <w:rsid w:val="00711FEA"/>
    <w:rsid w:val="00713E42"/>
    <w:rsid w:val="00716472"/>
    <w:rsid w:val="00717D9F"/>
    <w:rsid w:val="00722A08"/>
    <w:rsid w:val="0072423E"/>
    <w:rsid w:val="00724D65"/>
    <w:rsid w:val="00725C77"/>
    <w:rsid w:val="007266BC"/>
    <w:rsid w:val="007276D1"/>
    <w:rsid w:val="00727F1F"/>
    <w:rsid w:val="00735332"/>
    <w:rsid w:val="00735460"/>
    <w:rsid w:val="00741BE8"/>
    <w:rsid w:val="00742700"/>
    <w:rsid w:val="00745166"/>
    <w:rsid w:val="00752FA0"/>
    <w:rsid w:val="007548F9"/>
    <w:rsid w:val="0075507D"/>
    <w:rsid w:val="00755D8E"/>
    <w:rsid w:val="0076009C"/>
    <w:rsid w:val="0076285B"/>
    <w:rsid w:val="00775029"/>
    <w:rsid w:val="007753F6"/>
    <w:rsid w:val="00776226"/>
    <w:rsid w:val="00776447"/>
    <w:rsid w:val="007764AB"/>
    <w:rsid w:val="00776BCD"/>
    <w:rsid w:val="007820C9"/>
    <w:rsid w:val="007A0F1F"/>
    <w:rsid w:val="007A3E66"/>
    <w:rsid w:val="007B1BB2"/>
    <w:rsid w:val="007B2A49"/>
    <w:rsid w:val="007B3815"/>
    <w:rsid w:val="007B42DD"/>
    <w:rsid w:val="007B4DCE"/>
    <w:rsid w:val="007B71C2"/>
    <w:rsid w:val="007B71E1"/>
    <w:rsid w:val="007C13A5"/>
    <w:rsid w:val="007C3265"/>
    <w:rsid w:val="007C3842"/>
    <w:rsid w:val="007C3FE9"/>
    <w:rsid w:val="007C4ED6"/>
    <w:rsid w:val="007C5A63"/>
    <w:rsid w:val="007D006D"/>
    <w:rsid w:val="007D02C1"/>
    <w:rsid w:val="007D13BF"/>
    <w:rsid w:val="007D267B"/>
    <w:rsid w:val="007D3C85"/>
    <w:rsid w:val="007D4EEE"/>
    <w:rsid w:val="007D5DBE"/>
    <w:rsid w:val="007D6537"/>
    <w:rsid w:val="007D7C8B"/>
    <w:rsid w:val="007E0FBD"/>
    <w:rsid w:val="007E1535"/>
    <w:rsid w:val="007E2134"/>
    <w:rsid w:val="007E3112"/>
    <w:rsid w:val="007E7A4A"/>
    <w:rsid w:val="007F0A96"/>
    <w:rsid w:val="007F26C9"/>
    <w:rsid w:val="007F6E4C"/>
    <w:rsid w:val="00802586"/>
    <w:rsid w:val="00805818"/>
    <w:rsid w:val="00805947"/>
    <w:rsid w:val="00806E47"/>
    <w:rsid w:val="00812222"/>
    <w:rsid w:val="008174A9"/>
    <w:rsid w:val="00821C7D"/>
    <w:rsid w:val="00822174"/>
    <w:rsid w:val="00822B6B"/>
    <w:rsid w:val="00826D02"/>
    <w:rsid w:val="008272D6"/>
    <w:rsid w:val="00830528"/>
    <w:rsid w:val="00835778"/>
    <w:rsid w:val="00835C17"/>
    <w:rsid w:val="0084338E"/>
    <w:rsid w:val="00845051"/>
    <w:rsid w:val="0086641B"/>
    <w:rsid w:val="008734CC"/>
    <w:rsid w:val="00876652"/>
    <w:rsid w:val="008776D7"/>
    <w:rsid w:val="00884BF0"/>
    <w:rsid w:val="008868B7"/>
    <w:rsid w:val="00891504"/>
    <w:rsid w:val="008928E0"/>
    <w:rsid w:val="00892E1E"/>
    <w:rsid w:val="0089355C"/>
    <w:rsid w:val="008967C5"/>
    <w:rsid w:val="008A011C"/>
    <w:rsid w:val="008A3436"/>
    <w:rsid w:val="008A43F4"/>
    <w:rsid w:val="008B3658"/>
    <w:rsid w:val="008C00DA"/>
    <w:rsid w:val="008C031E"/>
    <w:rsid w:val="008D061F"/>
    <w:rsid w:val="008D093D"/>
    <w:rsid w:val="008D50A2"/>
    <w:rsid w:val="008D7946"/>
    <w:rsid w:val="008E0509"/>
    <w:rsid w:val="008E44EF"/>
    <w:rsid w:val="008E4CB2"/>
    <w:rsid w:val="008E60BA"/>
    <w:rsid w:val="008F10CE"/>
    <w:rsid w:val="008F1774"/>
    <w:rsid w:val="008F3230"/>
    <w:rsid w:val="008F379A"/>
    <w:rsid w:val="008F4D1D"/>
    <w:rsid w:val="008F62EE"/>
    <w:rsid w:val="00900B41"/>
    <w:rsid w:val="00901B00"/>
    <w:rsid w:val="009031F3"/>
    <w:rsid w:val="009038E6"/>
    <w:rsid w:val="00910772"/>
    <w:rsid w:val="009123CD"/>
    <w:rsid w:val="009147B5"/>
    <w:rsid w:val="00920E1B"/>
    <w:rsid w:val="0092127E"/>
    <w:rsid w:val="00924F74"/>
    <w:rsid w:val="00931610"/>
    <w:rsid w:val="0093446A"/>
    <w:rsid w:val="00935670"/>
    <w:rsid w:val="00940DC0"/>
    <w:rsid w:val="0094113E"/>
    <w:rsid w:val="00944BEB"/>
    <w:rsid w:val="00944F1F"/>
    <w:rsid w:val="00947BE2"/>
    <w:rsid w:val="00950BCD"/>
    <w:rsid w:val="00953FD7"/>
    <w:rsid w:val="00956CEC"/>
    <w:rsid w:val="00957020"/>
    <w:rsid w:val="009605A6"/>
    <w:rsid w:val="00961A02"/>
    <w:rsid w:val="00961B80"/>
    <w:rsid w:val="00965680"/>
    <w:rsid w:val="00971543"/>
    <w:rsid w:val="0097186C"/>
    <w:rsid w:val="0097432F"/>
    <w:rsid w:val="00974589"/>
    <w:rsid w:val="009751C4"/>
    <w:rsid w:val="00976875"/>
    <w:rsid w:val="009774EA"/>
    <w:rsid w:val="00980A53"/>
    <w:rsid w:val="00980D40"/>
    <w:rsid w:val="00981864"/>
    <w:rsid w:val="0098310B"/>
    <w:rsid w:val="00983B44"/>
    <w:rsid w:val="00984BCD"/>
    <w:rsid w:val="009853C0"/>
    <w:rsid w:val="00987411"/>
    <w:rsid w:val="00987535"/>
    <w:rsid w:val="00993051"/>
    <w:rsid w:val="00996AE2"/>
    <w:rsid w:val="009A3434"/>
    <w:rsid w:val="009A4D0A"/>
    <w:rsid w:val="009A5687"/>
    <w:rsid w:val="009B1D47"/>
    <w:rsid w:val="009B3C1C"/>
    <w:rsid w:val="009B67A6"/>
    <w:rsid w:val="009B6FF5"/>
    <w:rsid w:val="009C2DB2"/>
    <w:rsid w:val="009C6CBB"/>
    <w:rsid w:val="009D078B"/>
    <w:rsid w:val="009D64DB"/>
    <w:rsid w:val="009D78FF"/>
    <w:rsid w:val="009E11A5"/>
    <w:rsid w:val="009F087B"/>
    <w:rsid w:val="009F1240"/>
    <w:rsid w:val="009F1638"/>
    <w:rsid w:val="009F37D0"/>
    <w:rsid w:val="009F459E"/>
    <w:rsid w:val="00A00231"/>
    <w:rsid w:val="00A04535"/>
    <w:rsid w:val="00A064DB"/>
    <w:rsid w:val="00A075CD"/>
    <w:rsid w:val="00A0795B"/>
    <w:rsid w:val="00A14E7D"/>
    <w:rsid w:val="00A16FFA"/>
    <w:rsid w:val="00A22706"/>
    <w:rsid w:val="00A257CB"/>
    <w:rsid w:val="00A25AC9"/>
    <w:rsid w:val="00A2680A"/>
    <w:rsid w:val="00A279A7"/>
    <w:rsid w:val="00A27B2F"/>
    <w:rsid w:val="00A27E11"/>
    <w:rsid w:val="00A30A18"/>
    <w:rsid w:val="00A3193D"/>
    <w:rsid w:val="00A33BF6"/>
    <w:rsid w:val="00A3427B"/>
    <w:rsid w:val="00A34D1D"/>
    <w:rsid w:val="00A36F41"/>
    <w:rsid w:val="00A432E7"/>
    <w:rsid w:val="00A4425C"/>
    <w:rsid w:val="00A45CF9"/>
    <w:rsid w:val="00A47507"/>
    <w:rsid w:val="00A52980"/>
    <w:rsid w:val="00A56A8D"/>
    <w:rsid w:val="00A6071B"/>
    <w:rsid w:val="00A634DA"/>
    <w:rsid w:val="00A63F0F"/>
    <w:rsid w:val="00A6464A"/>
    <w:rsid w:val="00A67B86"/>
    <w:rsid w:val="00A71FAC"/>
    <w:rsid w:val="00A73541"/>
    <w:rsid w:val="00A73D93"/>
    <w:rsid w:val="00A74674"/>
    <w:rsid w:val="00A806C0"/>
    <w:rsid w:val="00A823C2"/>
    <w:rsid w:val="00A82B29"/>
    <w:rsid w:val="00A87EC7"/>
    <w:rsid w:val="00A91894"/>
    <w:rsid w:val="00AA1773"/>
    <w:rsid w:val="00AA231A"/>
    <w:rsid w:val="00AA257B"/>
    <w:rsid w:val="00AA35C0"/>
    <w:rsid w:val="00AA64B7"/>
    <w:rsid w:val="00AA6D50"/>
    <w:rsid w:val="00AA6D58"/>
    <w:rsid w:val="00AA7A69"/>
    <w:rsid w:val="00AB096E"/>
    <w:rsid w:val="00AB1594"/>
    <w:rsid w:val="00AB307E"/>
    <w:rsid w:val="00AB6104"/>
    <w:rsid w:val="00AB7AD6"/>
    <w:rsid w:val="00AB7D82"/>
    <w:rsid w:val="00AC1E8A"/>
    <w:rsid w:val="00AC29D9"/>
    <w:rsid w:val="00AC400F"/>
    <w:rsid w:val="00AD033A"/>
    <w:rsid w:val="00AD2169"/>
    <w:rsid w:val="00AD290B"/>
    <w:rsid w:val="00AD568C"/>
    <w:rsid w:val="00AE5017"/>
    <w:rsid w:val="00AE6874"/>
    <w:rsid w:val="00AE79D9"/>
    <w:rsid w:val="00AF1371"/>
    <w:rsid w:val="00AF79C4"/>
    <w:rsid w:val="00B00A90"/>
    <w:rsid w:val="00B0421E"/>
    <w:rsid w:val="00B05136"/>
    <w:rsid w:val="00B0673C"/>
    <w:rsid w:val="00B07A8B"/>
    <w:rsid w:val="00B12435"/>
    <w:rsid w:val="00B12BDC"/>
    <w:rsid w:val="00B21142"/>
    <w:rsid w:val="00B24E7C"/>
    <w:rsid w:val="00B27427"/>
    <w:rsid w:val="00B27439"/>
    <w:rsid w:val="00B327FC"/>
    <w:rsid w:val="00B44DBE"/>
    <w:rsid w:val="00B47C0E"/>
    <w:rsid w:val="00B50143"/>
    <w:rsid w:val="00B509AA"/>
    <w:rsid w:val="00B532E6"/>
    <w:rsid w:val="00B5337D"/>
    <w:rsid w:val="00B556ED"/>
    <w:rsid w:val="00B66822"/>
    <w:rsid w:val="00B716CA"/>
    <w:rsid w:val="00B72AEE"/>
    <w:rsid w:val="00B740A2"/>
    <w:rsid w:val="00B75C09"/>
    <w:rsid w:val="00B80AB4"/>
    <w:rsid w:val="00B81724"/>
    <w:rsid w:val="00B835A6"/>
    <w:rsid w:val="00B85594"/>
    <w:rsid w:val="00B861BF"/>
    <w:rsid w:val="00B867AB"/>
    <w:rsid w:val="00B9207E"/>
    <w:rsid w:val="00B929AB"/>
    <w:rsid w:val="00BA005C"/>
    <w:rsid w:val="00BA0110"/>
    <w:rsid w:val="00BA3E2A"/>
    <w:rsid w:val="00BA5FE0"/>
    <w:rsid w:val="00BA61F8"/>
    <w:rsid w:val="00BB294D"/>
    <w:rsid w:val="00BC35BE"/>
    <w:rsid w:val="00BC39AA"/>
    <w:rsid w:val="00BC69FD"/>
    <w:rsid w:val="00BD0C04"/>
    <w:rsid w:val="00BD1B41"/>
    <w:rsid w:val="00BD311D"/>
    <w:rsid w:val="00BD4BFD"/>
    <w:rsid w:val="00BD5A7C"/>
    <w:rsid w:val="00BD666D"/>
    <w:rsid w:val="00BE2B61"/>
    <w:rsid w:val="00BE3357"/>
    <w:rsid w:val="00BE3E08"/>
    <w:rsid w:val="00BE3F0F"/>
    <w:rsid w:val="00BE405A"/>
    <w:rsid w:val="00BF047D"/>
    <w:rsid w:val="00BF2B30"/>
    <w:rsid w:val="00BF6512"/>
    <w:rsid w:val="00BF6CBE"/>
    <w:rsid w:val="00C0029C"/>
    <w:rsid w:val="00C01674"/>
    <w:rsid w:val="00C01F8E"/>
    <w:rsid w:val="00C0509A"/>
    <w:rsid w:val="00C12D1E"/>
    <w:rsid w:val="00C22CD0"/>
    <w:rsid w:val="00C23932"/>
    <w:rsid w:val="00C26065"/>
    <w:rsid w:val="00C32564"/>
    <w:rsid w:val="00C3577D"/>
    <w:rsid w:val="00C448EC"/>
    <w:rsid w:val="00C46227"/>
    <w:rsid w:val="00C53A53"/>
    <w:rsid w:val="00C55870"/>
    <w:rsid w:val="00C6210A"/>
    <w:rsid w:val="00C671C4"/>
    <w:rsid w:val="00C73655"/>
    <w:rsid w:val="00C75E06"/>
    <w:rsid w:val="00C768F2"/>
    <w:rsid w:val="00C83409"/>
    <w:rsid w:val="00C83BCA"/>
    <w:rsid w:val="00C84642"/>
    <w:rsid w:val="00C8658A"/>
    <w:rsid w:val="00C9000D"/>
    <w:rsid w:val="00C91948"/>
    <w:rsid w:val="00C95826"/>
    <w:rsid w:val="00C96AF1"/>
    <w:rsid w:val="00C96B4B"/>
    <w:rsid w:val="00CA1280"/>
    <w:rsid w:val="00CA24BF"/>
    <w:rsid w:val="00CA47E2"/>
    <w:rsid w:val="00CA7059"/>
    <w:rsid w:val="00CB1866"/>
    <w:rsid w:val="00CB1DDF"/>
    <w:rsid w:val="00CB47F3"/>
    <w:rsid w:val="00CB64C5"/>
    <w:rsid w:val="00CC05D3"/>
    <w:rsid w:val="00CC4ED9"/>
    <w:rsid w:val="00CC6110"/>
    <w:rsid w:val="00CC6116"/>
    <w:rsid w:val="00CD356B"/>
    <w:rsid w:val="00CD5DE8"/>
    <w:rsid w:val="00CD649F"/>
    <w:rsid w:val="00CD6DDC"/>
    <w:rsid w:val="00CE17AE"/>
    <w:rsid w:val="00CE3A12"/>
    <w:rsid w:val="00CE3DD5"/>
    <w:rsid w:val="00CF02D7"/>
    <w:rsid w:val="00CF135A"/>
    <w:rsid w:val="00CF6868"/>
    <w:rsid w:val="00CF6EA8"/>
    <w:rsid w:val="00D01289"/>
    <w:rsid w:val="00D013F2"/>
    <w:rsid w:val="00D0222E"/>
    <w:rsid w:val="00D16848"/>
    <w:rsid w:val="00D22840"/>
    <w:rsid w:val="00D254DF"/>
    <w:rsid w:val="00D257A4"/>
    <w:rsid w:val="00D30540"/>
    <w:rsid w:val="00D31179"/>
    <w:rsid w:val="00D358ED"/>
    <w:rsid w:val="00D36CDE"/>
    <w:rsid w:val="00D45BA9"/>
    <w:rsid w:val="00D462B9"/>
    <w:rsid w:val="00D504B4"/>
    <w:rsid w:val="00D52AD9"/>
    <w:rsid w:val="00D62B80"/>
    <w:rsid w:val="00D64281"/>
    <w:rsid w:val="00D66AA2"/>
    <w:rsid w:val="00D736CC"/>
    <w:rsid w:val="00D758CA"/>
    <w:rsid w:val="00D7630F"/>
    <w:rsid w:val="00D86AEF"/>
    <w:rsid w:val="00D91E6C"/>
    <w:rsid w:val="00D97232"/>
    <w:rsid w:val="00DA16D7"/>
    <w:rsid w:val="00DA225B"/>
    <w:rsid w:val="00DA2A6B"/>
    <w:rsid w:val="00DA43E5"/>
    <w:rsid w:val="00DA4C71"/>
    <w:rsid w:val="00DB0068"/>
    <w:rsid w:val="00DB271D"/>
    <w:rsid w:val="00DB52CF"/>
    <w:rsid w:val="00DB70D3"/>
    <w:rsid w:val="00DB777F"/>
    <w:rsid w:val="00DC0084"/>
    <w:rsid w:val="00DC0442"/>
    <w:rsid w:val="00DC099F"/>
    <w:rsid w:val="00DC15BD"/>
    <w:rsid w:val="00DD00B9"/>
    <w:rsid w:val="00DD12B7"/>
    <w:rsid w:val="00DD3B33"/>
    <w:rsid w:val="00DD3B57"/>
    <w:rsid w:val="00DD40B8"/>
    <w:rsid w:val="00DD713A"/>
    <w:rsid w:val="00DD75D8"/>
    <w:rsid w:val="00DE1C46"/>
    <w:rsid w:val="00DE694D"/>
    <w:rsid w:val="00DF2ED1"/>
    <w:rsid w:val="00DF4983"/>
    <w:rsid w:val="00E00B9C"/>
    <w:rsid w:val="00E00F0F"/>
    <w:rsid w:val="00E018DC"/>
    <w:rsid w:val="00E01BD6"/>
    <w:rsid w:val="00E02A47"/>
    <w:rsid w:val="00E038F4"/>
    <w:rsid w:val="00E03936"/>
    <w:rsid w:val="00E04CD3"/>
    <w:rsid w:val="00E06040"/>
    <w:rsid w:val="00E13258"/>
    <w:rsid w:val="00E1503A"/>
    <w:rsid w:val="00E17CC4"/>
    <w:rsid w:val="00E24AE1"/>
    <w:rsid w:val="00E319E0"/>
    <w:rsid w:val="00E35181"/>
    <w:rsid w:val="00E440BB"/>
    <w:rsid w:val="00E47B59"/>
    <w:rsid w:val="00E54C72"/>
    <w:rsid w:val="00E54D35"/>
    <w:rsid w:val="00E55035"/>
    <w:rsid w:val="00E60F94"/>
    <w:rsid w:val="00E63AF6"/>
    <w:rsid w:val="00E7131B"/>
    <w:rsid w:val="00E76BF4"/>
    <w:rsid w:val="00E82E79"/>
    <w:rsid w:val="00E836C8"/>
    <w:rsid w:val="00E836F8"/>
    <w:rsid w:val="00E879EB"/>
    <w:rsid w:val="00E91B7F"/>
    <w:rsid w:val="00E9460E"/>
    <w:rsid w:val="00E952B2"/>
    <w:rsid w:val="00E955F5"/>
    <w:rsid w:val="00E975D3"/>
    <w:rsid w:val="00EA147A"/>
    <w:rsid w:val="00EA1F1A"/>
    <w:rsid w:val="00EA339A"/>
    <w:rsid w:val="00EA49BD"/>
    <w:rsid w:val="00EA51FC"/>
    <w:rsid w:val="00EA566C"/>
    <w:rsid w:val="00EA57AA"/>
    <w:rsid w:val="00EA5BDA"/>
    <w:rsid w:val="00EB1B2E"/>
    <w:rsid w:val="00EB2CFD"/>
    <w:rsid w:val="00EC72CB"/>
    <w:rsid w:val="00ED0C38"/>
    <w:rsid w:val="00ED1265"/>
    <w:rsid w:val="00ED1AB9"/>
    <w:rsid w:val="00ED2956"/>
    <w:rsid w:val="00ED6025"/>
    <w:rsid w:val="00EE0070"/>
    <w:rsid w:val="00EE2E02"/>
    <w:rsid w:val="00EF1A25"/>
    <w:rsid w:val="00EF2F9D"/>
    <w:rsid w:val="00EF7AFF"/>
    <w:rsid w:val="00F006D9"/>
    <w:rsid w:val="00F10DC4"/>
    <w:rsid w:val="00F12779"/>
    <w:rsid w:val="00F22BEE"/>
    <w:rsid w:val="00F23CD9"/>
    <w:rsid w:val="00F24725"/>
    <w:rsid w:val="00F26B03"/>
    <w:rsid w:val="00F274E0"/>
    <w:rsid w:val="00F352A3"/>
    <w:rsid w:val="00F3553A"/>
    <w:rsid w:val="00F374A2"/>
    <w:rsid w:val="00F37691"/>
    <w:rsid w:val="00F37F09"/>
    <w:rsid w:val="00F446A1"/>
    <w:rsid w:val="00F45A93"/>
    <w:rsid w:val="00F47DD2"/>
    <w:rsid w:val="00F504C1"/>
    <w:rsid w:val="00F50C3A"/>
    <w:rsid w:val="00F50EE4"/>
    <w:rsid w:val="00F50F64"/>
    <w:rsid w:val="00F54DDF"/>
    <w:rsid w:val="00F55EE7"/>
    <w:rsid w:val="00F5779F"/>
    <w:rsid w:val="00F57E8A"/>
    <w:rsid w:val="00F62F7C"/>
    <w:rsid w:val="00F65E9D"/>
    <w:rsid w:val="00F70024"/>
    <w:rsid w:val="00F73B3F"/>
    <w:rsid w:val="00F746D5"/>
    <w:rsid w:val="00F75818"/>
    <w:rsid w:val="00F8084B"/>
    <w:rsid w:val="00F80E21"/>
    <w:rsid w:val="00F81823"/>
    <w:rsid w:val="00F831DA"/>
    <w:rsid w:val="00F85DD7"/>
    <w:rsid w:val="00F9007C"/>
    <w:rsid w:val="00F91B9C"/>
    <w:rsid w:val="00F91D0C"/>
    <w:rsid w:val="00F92045"/>
    <w:rsid w:val="00F92DBE"/>
    <w:rsid w:val="00F943C0"/>
    <w:rsid w:val="00FA3AE0"/>
    <w:rsid w:val="00FA5514"/>
    <w:rsid w:val="00FA5585"/>
    <w:rsid w:val="00FA7B12"/>
    <w:rsid w:val="00FB54F7"/>
    <w:rsid w:val="00FB6CB2"/>
    <w:rsid w:val="00FB78E2"/>
    <w:rsid w:val="00FC0AC9"/>
    <w:rsid w:val="00FC1737"/>
    <w:rsid w:val="00FC176B"/>
    <w:rsid w:val="00FC4983"/>
    <w:rsid w:val="00FC636B"/>
    <w:rsid w:val="00FC7704"/>
    <w:rsid w:val="00FD003C"/>
    <w:rsid w:val="00FD10E4"/>
    <w:rsid w:val="00FE5C57"/>
    <w:rsid w:val="00FF427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D16848"/>
    <w:pPr>
      <w:keepNext/>
      <w:keepLines/>
      <w:spacing w:before="240" w:line="259" w:lineRule="auto"/>
      <w:outlineLvl w:val="0"/>
    </w:pPr>
    <w:rPr>
      <w:rFonts w:asciiTheme="majorHAnsi" w:eastAsiaTheme="majorEastAsia" w:hAnsiTheme="majorHAnsi" w:cstheme="majorBidi"/>
      <w:color w:val="7B230B" w:themeColor="accent1" w:themeShade="BF"/>
      <w:sz w:val="32"/>
      <w:szCs w:val="32"/>
      <w:lang w:eastAsia="en-US"/>
    </w:rPr>
  </w:style>
  <w:style w:type="paragraph" w:styleId="Heading3">
    <w:name w:val="heading 3"/>
    <w:basedOn w:val="Normal"/>
    <w:next w:val="Normal"/>
    <w:link w:val="Heading3Char"/>
    <w:qFormat/>
    <w:rsid w:val="00F54D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68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6848"/>
    <w:rPr>
      <w:rFonts w:eastAsiaTheme="minorEastAsia"/>
      <w:lang w:val="en-US"/>
    </w:rPr>
  </w:style>
  <w:style w:type="character" w:customStyle="1" w:styleId="Heading1Char">
    <w:name w:val="Heading 1 Char"/>
    <w:basedOn w:val="DefaultParagraphFont"/>
    <w:link w:val="Heading1"/>
    <w:uiPriority w:val="9"/>
    <w:rsid w:val="00D16848"/>
    <w:rPr>
      <w:rFonts w:asciiTheme="majorHAnsi" w:eastAsiaTheme="majorEastAsia" w:hAnsiTheme="majorHAnsi" w:cstheme="majorBidi"/>
      <w:color w:val="7B230B" w:themeColor="accent1" w:themeShade="BF"/>
      <w:sz w:val="32"/>
      <w:szCs w:val="32"/>
    </w:rPr>
  </w:style>
  <w:style w:type="paragraph" w:styleId="TOCHeading">
    <w:name w:val="TOC Heading"/>
    <w:basedOn w:val="Heading1"/>
    <w:next w:val="Normal"/>
    <w:uiPriority w:val="39"/>
    <w:unhideWhenUsed/>
    <w:qFormat/>
    <w:rsid w:val="00D16848"/>
    <w:pPr>
      <w:outlineLvl w:val="9"/>
    </w:pPr>
    <w:rPr>
      <w:lang w:val="en-US"/>
    </w:rPr>
  </w:style>
  <w:style w:type="paragraph" w:styleId="ListParagraph">
    <w:name w:val="List Paragraph"/>
    <w:basedOn w:val="Normal"/>
    <w:uiPriority w:val="34"/>
    <w:qFormat/>
    <w:rsid w:val="00D16848"/>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6C374E"/>
    <w:rPr>
      <w:sz w:val="20"/>
      <w:szCs w:val="20"/>
    </w:rPr>
  </w:style>
  <w:style w:type="character" w:customStyle="1" w:styleId="EndnoteTextChar">
    <w:name w:val="Endnote Text Char"/>
    <w:basedOn w:val="DefaultParagraphFont"/>
    <w:link w:val="EndnoteText"/>
    <w:uiPriority w:val="99"/>
    <w:semiHidden/>
    <w:rsid w:val="006C374E"/>
    <w:rPr>
      <w:sz w:val="20"/>
      <w:szCs w:val="20"/>
    </w:rPr>
  </w:style>
  <w:style w:type="character" w:styleId="EndnoteReference">
    <w:name w:val="endnote reference"/>
    <w:basedOn w:val="DefaultParagraphFont"/>
    <w:uiPriority w:val="99"/>
    <w:semiHidden/>
    <w:unhideWhenUsed/>
    <w:rsid w:val="006C374E"/>
    <w:rPr>
      <w:vertAlign w:val="superscript"/>
    </w:rPr>
  </w:style>
  <w:style w:type="paragraph" w:styleId="TOC1">
    <w:name w:val="toc 1"/>
    <w:basedOn w:val="Normal"/>
    <w:next w:val="Normal"/>
    <w:autoRedefine/>
    <w:uiPriority w:val="39"/>
    <w:unhideWhenUsed/>
    <w:rsid w:val="00675280"/>
    <w:pPr>
      <w:spacing w:after="100"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75280"/>
    <w:rPr>
      <w:color w:val="6B9F25" w:themeColor="hyperlink"/>
      <w:u w:val="single"/>
    </w:rPr>
  </w:style>
  <w:style w:type="paragraph" w:styleId="FootnoteText">
    <w:name w:val="footnote text"/>
    <w:basedOn w:val="Normal"/>
    <w:link w:val="FootnoteTextChar"/>
    <w:uiPriority w:val="99"/>
    <w:semiHidden/>
    <w:unhideWhenUsed/>
    <w:rsid w:val="0067528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75280"/>
    <w:rPr>
      <w:sz w:val="20"/>
      <w:szCs w:val="20"/>
    </w:rPr>
  </w:style>
  <w:style w:type="character" w:styleId="FootnoteReference">
    <w:name w:val="footnote reference"/>
    <w:basedOn w:val="DefaultParagraphFont"/>
    <w:uiPriority w:val="99"/>
    <w:semiHidden/>
    <w:unhideWhenUsed/>
    <w:rsid w:val="00675280"/>
    <w:rPr>
      <w:vertAlign w:val="superscript"/>
    </w:rPr>
  </w:style>
  <w:style w:type="paragraph" w:customStyle="1" w:styleId="subsection">
    <w:name w:val="subsection"/>
    <w:basedOn w:val="Normal"/>
    <w:rsid w:val="001E4500"/>
    <w:pPr>
      <w:spacing w:before="100" w:beforeAutospacing="1" w:after="100" w:afterAutospacing="1"/>
    </w:pPr>
  </w:style>
  <w:style w:type="paragraph" w:customStyle="1" w:styleId="paragraph">
    <w:name w:val="paragraph"/>
    <w:basedOn w:val="Normal"/>
    <w:rsid w:val="001E4500"/>
    <w:pPr>
      <w:spacing w:before="100" w:beforeAutospacing="1" w:after="100" w:afterAutospacing="1"/>
    </w:pPr>
  </w:style>
  <w:style w:type="paragraph" w:customStyle="1" w:styleId="subsectionhead">
    <w:name w:val="subsectionhead"/>
    <w:basedOn w:val="Normal"/>
    <w:rsid w:val="001E4500"/>
    <w:pPr>
      <w:spacing w:before="100" w:beforeAutospacing="1" w:after="100" w:afterAutospacing="1"/>
    </w:pPr>
  </w:style>
  <w:style w:type="paragraph" w:customStyle="1" w:styleId="acthead8">
    <w:name w:val="acthead8"/>
    <w:basedOn w:val="Normal"/>
    <w:rsid w:val="00EA49BD"/>
    <w:pPr>
      <w:spacing w:before="100" w:beforeAutospacing="1" w:after="100" w:afterAutospacing="1"/>
    </w:pPr>
  </w:style>
  <w:style w:type="paragraph" w:customStyle="1" w:styleId="itemhead">
    <w:name w:val="itemhead"/>
    <w:basedOn w:val="Normal"/>
    <w:rsid w:val="00EA49BD"/>
    <w:pPr>
      <w:spacing w:before="100" w:beforeAutospacing="1" w:after="100" w:afterAutospacing="1"/>
    </w:pPr>
  </w:style>
  <w:style w:type="paragraph" w:customStyle="1" w:styleId="subitem">
    <w:name w:val="subitem"/>
    <w:basedOn w:val="Normal"/>
    <w:rsid w:val="00EA49BD"/>
    <w:pPr>
      <w:spacing w:before="100" w:beforeAutospacing="1" w:after="100" w:afterAutospacing="1"/>
    </w:pPr>
  </w:style>
  <w:style w:type="paragraph" w:customStyle="1" w:styleId="NWCbodytextArial11ptJustified">
    <w:name w:val="NWC body text Arial 11 pt Justified"/>
    <w:basedOn w:val="Normal"/>
    <w:autoRedefine/>
    <w:rsid w:val="00CF02D7"/>
    <w:pPr>
      <w:spacing w:before="240" w:after="360" w:line="360" w:lineRule="auto"/>
      <w:jc w:val="both"/>
    </w:pPr>
    <w:rPr>
      <w:rFonts w:ascii="Arial" w:hAnsi="Arial" w:cs="Arial"/>
      <w:sz w:val="22"/>
      <w:szCs w:val="22"/>
    </w:rPr>
  </w:style>
  <w:style w:type="character" w:customStyle="1" w:styleId="Heading3Char">
    <w:name w:val="Heading 3 Char"/>
    <w:basedOn w:val="DefaultParagraphFont"/>
    <w:link w:val="Heading3"/>
    <w:rsid w:val="00F54DDF"/>
    <w:rPr>
      <w:rFonts w:ascii="Arial" w:eastAsia="Times New Roman" w:hAnsi="Arial" w:cs="Arial"/>
      <w:b/>
      <w:bCs/>
      <w:sz w:val="26"/>
      <w:szCs w:val="26"/>
      <w:lang w:eastAsia="en-AU"/>
    </w:rPr>
  </w:style>
  <w:style w:type="character" w:customStyle="1" w:styleId="status">
    <w:name w:val="status"/>
    <w:basedOn w:val="DefaultParagraphFont"/>
    <w:rsid w:val="00484194"/>
  </w:style>
  <w:style w:type="paragraph" w:styleId="NormalWeb">
    <w:name w:val="Normal (Web)"/>
    <w:basedOn w:val="Normal"/>
    <w:uiPriority w:val="99"/>
    <w:unhideWhenUsed/>
    <w:rsid w:val="005F59CB"/>
    <w:pPr>
      <w:spacing w:before="100" w:beforeAutospacing="1" w:after="100" w:afterAutospacing="1"/>
    </w:pPr>
  </w:style>
  <w:style w:type="paragraph" w:styleId="BalloonText">
    <w:name w:val="Balloon Text"/>
    <w:basedOn w:val="Normal"/>
    <w:link w:val="BalloonTextChar"/>
    <w:uiPriority w:val="99"/>
    <w:semiHidden/>
    <w:unhideWhenUsed/>
    <w:rsid w:val="00F83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DA"/>
    <w:rPr>
      <w:rFonts w:ascii="Segoe UI" w:eastAsia="Times New Roman" w:hAnsi="Segoe UI" w:cs="Segoe UI"/>
      <w:sz w:val="18"/>
      <w:szCs w:val="18"/>
      <w:lang w:eastAsia="en-AU"/>
    </w:rPr>
  </w:style>
  <w:style w:type="paragraph" w:styleId="Header">
    <w:name w:val="header"/>
    <w:basedOn w:val="Normal"/>
    <w:link w:val="HeaderChar"/>
    <w:uiPriority w:val="99"/>
    <w:unhideWhenUsed/>
    <w:rsid w:val="005D2BFE"/>
    <w:pPr>
      <w:tabs>
        <w:tab w:val="center" w:pos="4513"/>
        <w:tab w:val="right" w:pos="9026"/>
      </w:tabs>
    </w:pPr>
  </w:style>
  <w:style w:type="character" w:customStyle="1" w:styleId="HeaderChar">
    <w:name w:val="Header Char"/>
    <w:basedOn w:val="DefaultParagraphFont"/>
    <w:link w:val="Header"/>
    <w:uiPriority w:val="99"/>
    <w:rsid w:val="005D2BF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D2BFE"/>
    <w:pPr>
      <w:tabs>
        <w:tab w:val="center" w:pos="4513"/>
        <w:tab w:val="right" w:pos="9026"/>
      </w:tabs>
    </w:pPr>
  </w:style>
  <w:style w:type="character" w:customStyle="1" w:styleId="FooterChar">
    <w:name w:val="Footer Char"/>
    <w:basedOn w:val="DefaultParagraphFont"/>
    <w:link w:val="Footer"/>
    <w:uiPriority w:val="99"/>
    <w:rsid w:val="005D2BFE"/>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F50F64"/>
    <w:pPr>
      <w:spacing w:after="100"/>
      <w:ind w:left="480"/>
    </w:pPr>
  </w:style>
  <w:style w:type="character" w:styleId="CommentReference">
    <w:name w:val="annotation reference"/>
    <w:basedOn w:val="DefaultParagraphFont"/>
    <w:uiPriority w:val="99"/>
    <w:semiHidden/>
    <w:unhideWhenUsed/>
    <w:rsid w:val="00F23CD9"/>
    <w:rPr>
      <w:sz w:val="16"/>
      <w:szCs w:val="16"/>
    </w:rPr>
  </w:style>
  <w:style w:type="paragraph" w:styleId="CommentText">
    <w:name w:val="annotation text"/>
    <w:basedOn w:val="Normal"/>
    <w:link w:val="CommentTextChar"/>
    <w:uiPriority w:val="99"/>
    <w:semiHidden/>
    <w:unhideWhenUsed/>
    <w:rsid w:val="00F23CD9"/>
    <w:rPr>
      <w:sz w:val="20"/>
      <w:szCs w:val="20"/>
    </w:rPr>
  </w:style>
  <w:style w:type="character" w:customStyle="1" w:styleId="CommentTextChar">
    <w:name w:val="Comment Text Char"/>
    <w:basedOn w:val="DefaultParagraphFont"/>
    <w:link w:val="CommentText"/>
    <w:uiPriority w:val="99"/>
    <w:semiHidden/>
    <w:rsid w:val="00F23C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3CD9"/>
    <w:rPr>
      <w:b/>
      <w:bCs/>
    </w:rPr>
  </w:style>
  <w:style w:type="character" w:customStyle="1" w:styleId="CommentSubjectChar">
    <w:name w:val="Comment Subject Char"/>
    <w:basedOn w:val="CommentTextChar"/>
    <w:link w:val="CommentSubject"/>
    <w:uiPriority w:val="99"/>
    <w:semiHidden/>
    <w:rsid w:val="00F23CD9"/>
    <w:rPr>
      <w:rFonts w:ascii="Times New Roman" w:eastAsia="Times New Roman" w:hAnsi="Times New Roman" w:cs="Times New Roman"/>
      <w:b/>
      <w:bCs/>
      <w:sz w:val="20"/>
      <w:szCs w:val="20"/>
      <w:lang w:eastAsia="en-AU"/>
    </w:rPr>
  </w:style>
  <w:style w:type="paragraph" w:customStyle="1" w:styleId="style9">
    <w:name w:val="style9"/>
    <w:basedOn w:val="Normal"/>
    <w:rsid w:val="00DA43E5"/>
    <w:pPr>
      <w:spacing w:before="100" w:beforeAutospacing="1" w:after="100" w:afterAutospacing="1"/>
    </w:pPr>
    <w:rPr>
      <w:b/>
      <w:bCs/>
      <w:sz w:val="36"/>
      <w:szCs w:val="36"/>
    </w:rPr>
  </w:style>
  <w:style w:type="paragraph" w:styleId="Revision">
    <w:name w:val="Revision"/>
    <w:hidden/>
    <w:uiPriority w:val="99"/>
    <w:semiHidden/>
    <w:rsid w:val="005759D1"/>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4106C9"/>
    <w:pPr>
      <w:autoSpaceDE w:val="0"/>
      <w:autoSpaceDN w:val="0"/>
      <w:adjustRightInd w:val="0"/>
      <w:spacing w:after="0" w:line="240" w:lineRule="auto"/>
    </w:pPr>
    <w:rPr>
      <w:rFonts w:ascii="Book Antiqua" w:hAnsi="Book Antiqua" w:cs="Book Antiqua"/>
      <w:color w:val="000000"/>
      <w:sz w:val="24"/>
      <w:szCs w:val="24"/>
    </w:rPr>
  </w:style>
  <w:style w:type="paragraph" w:styleId="ListNumber2">
    <w:name w:val="List Number 2"/>
    <w:basedOn w:val="Normal"/>
    <w:link w:val="ListNumber2Char"/>
    <w:rsid w:val="004106C9"/>
    <w:pPr>
      <w:numPr>
        <w:numId w:val="12"/>
      </w:numPr>
      <w:spacing w:before="120" w:after="120"/>
    </w:pPr>
    <w:rPr>
      <w:rFonts w:ascii="Arial" w:eastAsiaTheme="minorHAnsi" w:hAnsi="Arial" w:cstheme="minorBidi"/>
      <w:sz w:val="20"/>
      <w:szCs w:val="18"/>
      <w:lang w:eastAsia="en-US"/>
    </w:rPr>
  </w:style>
  <w:style w:type="character" w:customStyle="1" w:styleId="ListNumber2Char">
    <w:name w:val="List Number 2 Char"/>
    <w:link w:val="ListNumber2"/>
    <w:rsid w:val="004106C9"/>
    <w:rPr>
      <w:rFonts w:ascii="Arial" w:hAnsi="Ari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9CB"/>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D16848"/>
    <w:pPr>
      <w:keepNext/>
      <w:keepLines/>
      <w:spacing w:before="240" w:line="259" w:lineRule="auto"/>
      <w:outlineLvl w:val="0"/>
    </w:pPr>
    <w:rPr>
      <w:rFonts w:asciiTheme="majorHAnsi" w:eastAsiaTheme="majorEastAsia" w:hAnsiTheme="majorHAnsi" w:cstheme="majorBidi"/>
      <w:color w:val="7B230B" w:themeColor="accent1" w:themeShade="BF"/>
      <w:sz w:val="32"/>
      <w:szCs w:val="32"/>
      <w:lang w:eastAsia="en-US"/>
    </w:rPr>
  </w:style>
  <w:style w:type="paragraph" w:styleId="Heading3">
    <w:name w:val="heading 3"/>
    <w:basedOn w:val="Normal"/>
    <w:next w:val="Normal"/>
    <w:link w:val="Heading3Char"/>
    <w:qFormat/>
    <w:rsid w:val="00F54D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168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6848"/>
    <w:rPr>
      <w:rFonts w:eastAsiaTheme="minorEastAsia"/>
      <w:lang w:val="en-US"/>
    </w:rPr>
  </w:style>
  <w:style w:type="character" w:customStyle="1" w:styleId="Heading1Char">
    <w:name w:val="Heading 1 Char"/>
    <w:basedOn w:val="DefaultParagraphFont"/>
    <w:link w:val="Heading1"/>
    <w:uiPriority w:val="9"/>
    <w:rsid w:val="00D16848"/>
    <w:rPr>
      <w:rFonts w:asciiTheme="majorHAnsi" w:eastAsiaTheme="majorEastAsia" w:hAnsiTheme="majorHAnsi" w:cstheme="majorBidi"/>
      <w:color w:val="7B230B" w:themeColor="accent1" w:themeShade="BF"/>
      <w:sz w:val="32"/>
      <w:szCs w:val="32"/>
    </w:rPr>
  </w:style>
  <w:style w:type="paragraph" w:styleId="TOCHeading">
    <w:name w:val="TOC Heading"/>
    <w:basedOn w:val="Heading1"/>
    <w:next w:val="Normal"/>
    <w:uiPriority w:val="39"/>
    <w:unhideWhenUsed/>
    <w:qFormat/>
    <w:rsid w:val="00D16848"/>
    <w:pPr>
      <w:outlineLvl w:val="9"/>
    </w:pPr>
    <w:rPr>
      <w:lang w:val="en-US"/>
    </w:rPr>
  </w:style>
  <w:style w:type="paragraph" w:styleId="ListParagraph">
    <w:name w:val="List Paragraph"/>
    <w:basedOn w:val="Normal"/>
    <w:uiPriority w:val="34"/>
    <w:qFormat/>
    <w:rsid w:val="00D16848"/>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6C374E"/>
    <w:rPr>
      <w:sz w:val="20"/>
      <w:szCs w:val="20"/>
    </w:rPr>
  </w:style>
  <w:style w:type="character" w:customStyle="1" w:styleId="EndnoteTextChar">
    <w:name w:val="Endnote Text Char"/>
    <w:basedOn w:val="DefaultParagraphFont"/>
    <w:link w:val="EndnoteText"/>
    <w:uiPriority w:val="99"/>
    <w:semiHidden/>
    <w:rsid w:val="006C374E"/>
    <w:rPr>
      <w:sz w:val="20"/>
      <w:szCs w:val="20"/>
    </w:rPr>
  </w:style>
  <w:style w:type="character" w:styleId="EndnoteReference">
    <w:name w:val="endnote reference"/>
    <w:basedOn w:val="DefaultParagraphFont"/>
    <w:uiPriority w:val="99"/>
    <w:semiHidden/>
    <w:unhideWhenUsed/>
    <w:rsid w:val="006C374E"/>
    <w:rPr>
      <w:vertAlign w:val="superscript"/>
    </w:rPr>
  </w:style>
  <w:style w:type="paragraph" w:styleId="TOC1">
    <w:name w:val="toc 1"/>
    <w:basedOn w:val="Normal"/>
    <w:next w:val="Normal"/>
    <w:autoRedefine/>
    <w:uiPriority w:val="39"/>
    <w:unhideWhenUsed/>
    <w:rsid w:val="00675280"/>
    <w:pPr>
      <w:spacing w:after="100" w:line="259" w:lineRule="auto"/>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75280"/>
    <w:rPr>
      <w:color w:val="6B9F25" w:themeColor="hyperlink"/>
      <w:u w:val="single"/>
    </w:rPr>
  </w:style>
  <w:style w:type="paragraph" w:styleId="FootnoteText">
    <w:name w:val="footnote text"/>
    <w:basedOn w:val="Normal"/>
    <w:link w:val="FootnoteTextChar"/>
    <w:uiPriority w:val="99"/>
    <w:semiHidden/>
    <w:unhideWhenUsed/>
    <w:rsid w:val="0067528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75280"/>
    <w:rPr>
      <w:sz w:val="20"/>
      <w:szCs w:val="20"/>
    </w:rPr>
  </w:style>
  <w:style w:type="character" w:styleId="FootnoteReference">
    <w:name w:val="footnote reference"/>
    <w:basedOn w:val="DefaultParagraphFont"/>
    <w:uiPriority w:val="99"/>
    <w:semiHidden/>
    <w:unhideWhenUsed/>
    <w:rsid w:val="00675280"/>
    <w:rPr>
      <w:vertAlign w:val="superscript"/>
    </w:rPr>
  </w:style>
  <w:style w:type="paragraph" w:customStyle="1" w:styleId="subsection">
    <w:name w:val="subsection"/>
    <w:basedOn w:val="Normal"/>
    <w:rsid w:val="001E4500"/>
    <w:pPr>
      <w:spacing w:before="100" w:beforeAutospacing="1" w:after="100" w:afterAutospacing="1"/>
    </w:pPr>
  </w:style>
  <w:style w:type="paragraph" w:customStyle="1" w:styleId="paragraph">
    <w:name w:val="paragraph"/>
    <w:basedOn w:val="Normal"/>
    <w:rsid w:val="001E4500"/>
    <w:pPr>
      <w:spacing w:before="100" w:beforeAutospacing="1" w:after="100" w:afterAutospacing="1"/>
    </w:pPr>
  </w:style>
  <w:style w:type="paragraph" w:customStyle="1" w:styleId="subsectionhead">
    <w:name w:val="subsectionhead"/>
    <w:basedOn w:val="Normal"/>
    <w:rsid w:val="001E4500"/>
    <w:pPr>
      <w:spacing w:before="100" w:beforeAutospacing="1" w:after="100" w:afterAutospacing="1"/>
    </w:pPr>
  </w:style>
  <w:style w:type="paragraph" w:customStyle="1" w:styleId="acthead8">
    <w:name w:val="acthead8"/>
    <w:basedOn w:val="Normal"/>
    <w:rsid w:val="00EA49BD"/>
    <w:pPr>
      <w:spacing w:before="100" w:beforeAutospacing="1" w:after="100" w:afterAutospacing="1"/>
    </w:pPr>
  </w:style>
  <w:style w:type="paragraph" w:customStyle="1" w:styleId="itemhead">
    <w:name w:val="itemhead"/>
    <w:basedOn w:val="Normal"/>
    <w:rsid w:val="00EA49BD"/>
    <w:pPr>
      <w:spacing w:before="100" w:beforeAutospacing="1" w:after="100" w:afterAutospacing="1"/>
    </w:pPr>
  </w:style>
  <w:style w:type="paragraph" w:customStyle="1" w:styleId="subitem">
    <w:name w:val="subitem"/>
    <w:basedOn w:val="Normal"/>
    <w:rsid w:val="00EA49BD"/>
    <w:pPr>
      <w:spacing w:before="100" w:beforeAutospacing="1" w:after="100" w:afterAutospacing="1"/>
    </w:pPr>
  </w:style>
  <w:style w:type="paragraph" w:customStyle="1" w:styleId="NWCbodytextArial11ptJustified">
    <w:name w:val="NWC body text Arial 11 pt Justified"/>
    <w:basedOn w:val="Normal"/>
    <w:autoRedefine/>
    <w:rsid w:val="00CF02D7"/>
    <w:pPr>
      <w:spacing w:before="240" w:after="360" w:line="360" w:lineRule="auto"/>
      <w:jc w:val="both"/>
    </w:pPr>
    <w:rPr>
      <w:rFonts w:ascii="Arial" w:hAnsi="Arial" w:cs="Arial"/>
      <w:sz w:val="22"/>
      <w:szCs w:val="22"/>
    </w:rPr>
  </w:style>
  <w:style w:type="character" w:customStyle="1" w:styleId="Heading3Char">
    <w:name w:val="Heading 3 Char"/>
    <w:basedOn w:val="DefaultParagraphFont"/>
    <w:link w:val="Heading3"/>
    <w:rsid w:val="00F54DDF"/>
    <w:rPr>
      <w:rFonts w:ascii="Arial" w:eastAsia="Times New Roman" w:hAnsi="Arial" w:cs="Arial"/>
      <w:b/>
      <w:bCs/>
      <w:sz w:val="26"/>
      <w:szCs w:val="26"/>
      <w:lang w:eastAsia="en-AU"/>
    </w:rPr>
  </w:style>
  <w:style w:type="character" w:customStyle="1" w:styleId="status">
    <w:name w:val="status"/>
    <w:basedOn w:val="DefaultParagraphFont"/>
    <w:rsid w:val="00484194"/>
  </w:style>
  <w:style w:type="paragraph" w:styleId="NormalWeb">
    <w:name w:val="Normal (Web)"/>
    <w:basedOn w:val="Normal"/>
    <w:uiPriority w:val="99"/>
    <w:unhideWhenUsed/>
    <w:rsid w:val="005F59CB"/>
    <w:pPr>
      <w:spacing w:before="100" w:beforeAutospacing="1" w:after="100" w:afterAutospacing="1"/>
    </w:pPr>
  </w:style>
  <w:style w:type="paragraph" w:styleId="BalloonText">
    <w:name w:val="Balloon Text"/>
    <w:basedOn w:val="Normal"/>
    <w:link w:val="BalloonTextChar"/>
    <w:uiPriority w:val="99"/>
    <w:semiHidden/>
    <w:unhideWhenUsed/>
    <w:rsid w:val="00F83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DA"/>
    <w:rPr>
      <w:rFonts w:ascii="Segoe UI" w:eastAsia="Times New Roman" w:hAnsi="Segoe UI" w:cs="Segoe UI"/>
      <w:sz w:val="18"/>
      <w:szCs w:val="18"/>
      <w:lang w:eastAsia="en-AU"/>
    </w:rPr>
  </w:style>
  <w:style w:type="paragraph" w:styleId="Header">
    <w:name w:val="header"/>
    <w:basedOn w:val="Normal"/>
    <w:link w:val="HeaderChar"/>
    <w:uiPriority w:val="99"/>
    <w:unhideWhenUsed/>
    <w:rsid w:val="005D2BFE"/>
    <w:pPr>
      <w:tabs>
        <w:tab w:val="center" w:pos="4513"/>
        <w:tab w:val="right" w:pos="9026"/>
      </w:tabs>
    </w:pPr>
  </w:style>
  <w:style w:type="character" w:customStyle="1" w:styleId="HeaderChar">
    <w:name w:val="Header Char"/>
    <w:basedOn w:val="DefaultParagraphFont"/>
    <w:link w:val="Header"/>
    <w:uiPriority w:val="99"/>
    <w:rsid w:val="005D2BFE"/>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D2BFE"/>
    <w:pPr>
      <w:tabs>
        <w:tab w:val="center" w:pos="4513"/>
        <w:tab w:val="right" w:pos="9026"/>
      </w:tabs>
    </w:pPr>
  </w:style>
  <w:style w:type="character" w:customStyle="1" w:styleId="FooterChar">
    <w:name w:val="Footer Char"/>
    <w:basedOn w:val="DefaultParagraphFont"/>
    <w:link w:val="Footer"/>
    <w:uiPriority w:val="99"/>
    <w:rsid w:val="005D2BFE"/>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F50F64"/>
    <w:pPr>
      <w:spacing w:after="100"/>
      <w:ind w:left="480"/>
    </w:pPr>
  </w:style>
  <w:style w:type="character" w:styleId="CommentReference">
    <w:name w:val="annotation reference"/>
    <w:basedOn w:val="DefaultParagraphFont"/>
    <w:uiPriority w:val="99"/>
    <w:semiHidden/>
    <w:unhideWhenUsed/>
    <w:rsid w:val="00F23CD9"/>
    <w:rPr>
      <w:sz w:val="16"/>
      <w:szCs w:val="16"/>
    </w:rPr>
  </w:style>
  <w:style w:type="paragraph" w:styleId="CommentText">
    <w:name w:val="annotation text"/>
    <w:basedOn w:val="Normal"/>
    <w:link w:val="CommentTextChar"/>
    <w:uiPriority w:val="99"/>
    <w:semiHidden/>
    <w:unhideWhenUsed/>
    <w:rsid w:val="00F23CD9"/>
    <w:rPr>
      <w:sz w:val="20"/>
      <w:szCs w:val="20"/>
    </w:rPr>
  </w:style>
  <w:style w:type="character" w:customStyle="1" w:styleId="CommentTextChar">
    <w:name w:val="Comment Text Char"/>
    <w:basedOn w:val="DefaultParagraphFont"/>
    <w:link w:val="CommentText"/>
    <w:uiPriority w:val="99"/>
    <w:semiHidden/>
    <w:rsid w:val="00F23C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23CD9"/>
    <w:rPr>
      <w:b/>
      <w:bCs/>
    </w:rPr>
  </w:style>
  <w:style w:type="character" w:customStyle="1" w:styleId="CommentSubjectChar">
    <w:name w:val="Comment Subject Char"/>
    <w:basedOn w:val="CommentTextChar"/>
    <w:link w:val="CommentSubject"/>
    <w:uiPriority w:val="99"/>
    <w:semiHidden/>
    <w:rsid w:val="00F23CD9"/>
    <w:rPr>
      <w:rFonts w:ascii="Times New Roman" w:eastAsia="Times New Roman" w:hAnsi="Times New Roman" w:cs="Times New Roman"/>
      <w:b/>
      <w:bCs/>
      <w:sz w:val="20"/>
      <w:szCs w:val="20"/>
      <w:lang w:eastAsia="en-AU"/>
    </w:rPr>
  </w:style>
  <w:style w:type="paragraph" w:customStyle="1" w:styleId="style9">
    <w:name w:val="style9"/>
    <w:basedOn w:val="Normal"/>
    <w:rsid w:val="00DA43E5"/>
    <w:pPr>
      <w:spacing w:before="100" w:beforeAutospacing="1" w:after="100" w:afterAutospacing="1"/>
    </w:pPr>
    <w:rPr>
      <w:b/>
      <w:bCs/>
      <w:sz w:val="36"/>
      <w:szCs w:val="36"/>
    </w:rPr>
  </w:style>
  <w:style w:type="paragraph" w:styleId="Revision">
    <w:name w:val="Revision"/>
    <w:hidden/>
    <w:uiPriority w:val="99"/>
    <w:semiHidden/>
    <w:rsid w:val="005759D1"/>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4106C9"/>
    <w:pPr>
      <w:autoSpaceDE w:val="0"/>
      <w:autoSpaceDN w:val="0"/>
      <w:adjustRightInd w:val="0"/>
      <w:spacing w:after="0" w:line="240" w:lineRule="auto"/>
    </w:pPr>
    <w:rPr>
      <w:rFonts w:ascii="Book Antiqua" w:hAnsi="Book Antiqua" w:cs="Book Antiqua"/>
      <w:color w:val="000000"/>
      <w:sz w:val="24"/>
      <w:szCs w:val="24"/>
    </w:rPr>
  </w:style>
  <w:style w:type="paragraph" w:styleId="ListNumber2">
    <w:name w:val="List Number 2"/>
    <w:basedOn w:val="Normal"/>
    <w:link w:val="ListNumber2Char"/>
    <w:rsid w:val="004106C9"/>
    <w:pPr>
      <w:numPr>
        <w:numId w:val="12"/>
      </w:numPr>
      <w:spacing w:before="120" w:after="120"/>
    </w:pPr>
    <w:rPr>
      <w:rFonts w:ascii="Arial" w:eastAsiaTheme="minorHAnsi" w:hAnsi="Arial" w:cstheme="minorBidi"/>
      <w:sz w:val="20"/>
      <w:szCs w:val="18"/>
      <w:lang w:eastAsia="en-US"/>
    </w:rPr>
  </w:style>
  <w:style w:type="character" w:customStyle="1" w:styleId="ListNumber2Char">
    <w:name w:val="List Number 2 Char"/>
    <w:link w:val="ListNumber2"/>
    <w:rsid w:val="004106C9"/>
    <w:rPr>
      <w:rFonts w:ascii="Arial" w:hAnsi="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5">
      <w:bodyDiv w:val="1"/>
      <w:marLeft w:val="0"/>
      <w:marRight w:val="0"/>
      <w:marTop w:val="0"/>
      <w:marBottom w:val="0"/>
      <w:divBdr>
        <w:top w:val="none" w:sz="0" w:space="0" w:color="auto"/>
        <w:left w:val="none" w:sz="0" w:space="0" w:color="auto"/>
        <w:bottom w:val="none" w:sz="0" w:space="0" w:color="auto"/>
        <w:right w:val="none" w:sz="0" w:space="0" w:color="auto"/>
      </w:divBdr>
    </w:div>
    <w:div w:id="58133836">
      <w:bodyDiv w:val="1"/>
      <w:marLeft w:val="0"/>
      <w:marRight w:val="0"/>
      <w:marTop w:val="0"/>
      <w:marBottom w:val="0"/>
      <w:divBdr>
        <w:top w:val="none" w:sz="0" w:space="0" w:color="auto"/>
        <w:left w:val="none" w:sz="0" w:space="0" w:color="auto"/>
        <w:bottom w:val="none" w:sz="0" w:space="0" w:color="auto"/>
        <w:right w:val="none" w:sz="0" w:space="0" w:color="auto"/>
      </w:divBdr>
    </w:div>
    <w:div w:id="204757181">
      <w:bodyDiv w:val="1"/>
      <w:marLeft w:val="0"/>
      <w:marRight w:val="0"/>
      <w:marTop w:val="0"/>
      <w:marBottom w:val="0"/>
      <w:divBdr>
        <w:top w:val="none" w:sz="0" w:space="0" w:color="auto"/>
        <w:left w:val="none" w:sz="0" w:space="0" w:color="auto"/>
        <w:bottom w:val="none" w:sz="0" w:space="0" w:color="auto"/>
        <w:right w:val="none" w:sz="0" w:space="0" w:color="auto"/>
      </w:divBdr>
    </w:div>
    <w:div w:id="302004233">
      <w:bodyDiv w:val="1"/>
      <w:marLeft w:val="0"/>
      <w:marRight w:val="0"/>
      <w:marTop w:val="0"/>
      <w:marBottom w:val="0"/>
      <w:divBdr>
        <w:top w:val="none" w:sz="0" w:space="0" w:color="auto"/>
        <w:left w:val="none" w:sz="0" w:space="0" w:color="auto"/>
        <w:bottom w:val="none" w:sz="0" w:space="0" w:color="auto"/>
        <w:right w:val="none" w:sz="0" w:space="0" w:color="auto"/>
      </w:divBdr>
    </w:div>
    <w:div w:id="804859353">
      <w:bodyDiv w:val="1"/>
      <w:marLeft w:val="0"/>
      <w:marRight w:val="0"/>
      <w:marTop w:val="0"/>
      <w:marBottom w:val="0"/>
      <w:divBdr>
        <w:top w:val="none" w:sz="0" w:space="0" w:color="auto"/>
        <w:left w:val="none" w:sz="0" w:space="0" w:color="auto"/>
        <w:bottom w:val="none" w:sz="0" w:space="0" w:color="auto"/>
        <w:right w:val="none" w:sz="0" w:space="0" w:color="auto"/>
      </w:divBdr>
    </w:div>
    <w:div w:id="972247092">
      <w:bodyDiv w:val="1"/>
      <w:marLeft w:val="0"/>
      <w:marRight w:val="0"/>
      <w:marTop w:val="0"/>
      <w:marBottom w:val="0"/>
      <w:divBdr>
        <w:top w:val="none" w:sz="0" w:space="0" w:color="auto"/>
        <w:left w:val="none" w:sz="0" w:space="0" w:color="auto"/>
        <w:bottom w:val="none" w:sz="0" w:space="0" w:color="auto"/>
        <w:right w:val="none" w:sz="0" w:space="0" w:color="auto"/>
      </w:divBdr>
    </w:div>
    <w:div w:id="1147085977">
      <w:bodyDiv w:val="1"/>
      <w:marLeft w:val="0"/>
      <w:marRight w:val="0"/>
      <w:marTop w:val="0"/>
      <w:marBottom w:val="0"/>
      <w:divBdr>
        <w:top w:val="none" w:sz="0" w:space="0" w:color="auto"/>
        <w:left w:val="none" w:sz="0" w:space="0" w:color="auto"/>
        <w:bottom w:val="none" w:sz="0" w:space="0" w:color="auto"/>
        <w:right w:val="none" w:sz="0" w:space="0" w:color="auto"/>
      </w:divBdr>
    </w:div>
    <w:div w:id="1237546856">
      <w:bodyDiv w:val="1"/>
      <w:marLeft w:val="0"/>
      <w:marRight w:val="0"/>
      <w:marTop w:val="0"/>
      <w:marBottom w:val="0"/>
      <w:divBdr>
        <w:top w:val="none" w:sz="0" w:space="0" w:color="auto"/>
        <w:left w:val="none" w:sz="0" w:space="0" w:color="auto"/>
        <w:bottom w:val="none" w:sz="0" w:space="0" w:color="auto"/>
        <w:right w:val="none" w:sz="0" w:space="0" w:color="auto"/>
      </w:divBdr>
      <w:divsChild>
        <w:div w:id="1611890412">
          <w:marLeft w:val="0"/>
          <w:marRight w:val="0"/>
          <w:marTop w:val="0"/>
          <w:marBottom w:val="0"/>
          <w:divBdr>
            <w:top w:val="none" w:sz="0" w:space="0" w:color="auto"/>
            <w:left w:val="none" w:sz="0" w:space="0" w:color="auto"/>
            <w:bottom w:val="none" w:sz="0" w:space="0" w:color="auto"/>
            <w:right w:val="none" w:sz="0" w:space="0" w:color="auto"/>
          </w:divBdr>
          <w:divsChild>
            <w:div w:id="1670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5381">
      <w:bodyDiv w:val="1"/>
      <w:marLeft w:val="0"/>
      <w:marRight w:val="0"/>
      <w:marTop w:val="0"/>
      <w:marBottom w:val="0"/>
      <w:divBdr>
        <w:top w:val="none" w:sz="0" w:space="0" w:color="auto"/>
        <w:left w:val="none" w:sz="0" w:space="0" w:color="auto"/>
        <w:bottom w:val="none" w:sz="0" w:space="0" w:color="auto"/>
        <w:right w:val="none" w:sz="0" w:space="0" w:color="auto"/>
      </w:divBdr>
    </w:div>
    <w:div w:id="1549106896">
      <w:bodyDiv w:val="1"/>
      <w:marLeft w:val="0"/>
      <w:marRight w:val="0"/>
      <w:marTop w:val="0"/>
      <w:marBottom w:val="0"/>
      <w:divBdr>
        <w:top w:val="none" w:sz="0" w:space="0" w:color="auto"/>
        <w:left w:val="none" w:sz="0" w:space="0" w:color="auto"/>
        <w:bottom w:val="none" w:sz="0" w:space="0" w:color="auto"/>
        <w:right w:val="none" w:sz="0" w:space="0" w:color="auto"/>
      </w:divBdr>
      <w:divsChild>
        <w:div w:id="647562296">
          <w:marLeft w:val="0"/>
          <w:marRight w:val="0"/>
          <w:marTop w:val="0"/>
          <w:marBottom w:val="0"/>
          <w:divBdr>
            <w:top w:val="none" w:sz="0" w:space="0" w:color="auto"/>
            <w:left w:val="none" w:sz="0" w:space="0" w:color="auto"/>
            <w:bottom w:val="none" w:sz="0" w:space="0" w:color="auto"/>
            <w:right w:val="none" w:sz="0" w:space="0" w:color="auto"/>
          </w:divBdr>
          <w:divsChild>
            <w:div w:id="213126576">
              <w:marLeft w:val="0"/>
              <w:marRight w:val="0"/>
              <w:marTop w:val="0"/>
              <w:marBottom w:val="0"/>
              <w:divBdr>
                <w:top w:val="none" w:sz="0" w:space="0" w:color="auto"/>
                <w:left w:val="single" w:sz="6" w:space="0" w:color="8F9193"/>
                <w:bottom w:val="none" w:sz="0" w:space="0" w:color="auto"/>
                <w:right w:val="single" w:sz="6" w:space="0" w:color="8F9193"/>
              </w:divBdr>
              <w:divsChild>
                <w:div w:id="1008366590">
                  <w:marLeft w:val="0"/>
                  <w:marRight w:val="0"/>
                  <w:marTop w:val="0"/>
                  <w:marBottom w:val="0"/>
                  <w:divBdr>
                    <w:top w:val="none" w:sz="0" w:space="0" w:color="auto"/>
                    <w:left w:val="none" w:sz="0" w:space="0" w:color="auto"/>
                    <w:bottom w:val="none" w:sz="0" w:space="0" w:color="auto"/>
                    <w:right w:val="single" w:sz="6" w:space="11" w:color="8F9193"/>
                  </w:divBdr>
                  <w:divsChild>
                    <w:div w:id="1741639273">
                      <w:marLeft w:val="0"/>
                      <w:marRight w:val="0"/>
                      <w:marTop w:val="0"/>
                      <w:marBottom w:val="0"/>
                      <w:divBdr>
                        <w:top w:val="none" w:sz="0" w:space="0" w:color="auto"/>
                        <w:left w:val="none" w:sz="0" w:space="0" w:color="auto"/>
                        <w:bottom w:val="none" w:sz="0" w:space="0" w:color="auto"/>
                        <w:right w:val="none" w:sz="0" w:space="0" w:color="auto"/>
                      </w:divBdr>
                      <w:divsChild>
                        <w:div w:id="18955057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7570">
      <w:bodyDiv w:val="1"/>
      <w:marLeft w:val="0"/>
      <w:marRight w:val="0"/>
      <w:marTop w:val="0"/>
      <w:marBottom w:val="0"/>
      <w:divBdr>
        <w:top w:val="none" w:sz="0" w:space="0" w:color="auto"/>
        <w:left w:val="none" w:sz="0" w:space="0" w:color="auto"/>
        <w:bottom w:val="none" w:sz="0" w:space="0" w:color="auto"/>
        <w:right w:val="none" w:sz="0" w:space="0" w:color="auto"/>
      </w:divBdr>
    </w:div>
    <w:div w:id="1707021058">
      <w:bodyDiv w:val="1"/>
      <w:marLeft w:val="0"/>
      <w:marRight w:val="0"/>
      <w:marTop w:val="0"/>
      <w:marBottom w:val="0"/>
      <w:divBdr>
        <w:top w:val="none" w:sz="0" w:space="0" w:color="auto"/>
        <w:left w:val="none" w:sz="0" w:space="0" w:color="auto"/>
        <w:bottom w:val="none" w:sz="0" w:space="0" w:color="auto"/>
        <w:right w:val="none" w:sz="0" w:space="0" w:color="auto"/>
      </w:divBdr>
      <w:divsChild>
        <w:div w:id="834610468">
          <w:marLeft w:val="0"/>
          <w:marRight w:val="0"/>
          <w:marTop w:val="0"/>
          <w:marBottom w:val="0"/>
          <w:divBdr>
            <w:top w:val="none" w:sz="0" w:space="0" w:color="auto"/>
            <w:left w:val="none" w:sz="0" w:space="0" w:color="auto"/>
            <w:bottom w:val="none" w:sz="0" w:space="0" w:color="auto"/>
            <w:right w:val="none" w:sz="0" w:space="0" w:color="auto"/>
          </w:divBdr>
          <w:divsChild>
            <w:div w:id="316812489">
              <w:marLeft w:val="0"/>
              <w:marRight w:val="0"/>
              <w:marTop w:val="0"/>
              <w:marBottom w:val="0"/>
              <w:divBdr>
                <w:top w:val="none" w:sz="0" w:space="0" w:color="auto"/>
                <w:left w:val="none" w:sz="0" w:space="0" w:color="auto"/>
                <w:bottom w:val="none" w:sz="0" w:space="0" w:color="auto"/>
                <w:right w:val="none" w:sz="0" w:space="0" w:color="auto"/>
              </w:divBdr>
              <w:divsChild>
                <w:div w:id="46220820">
                  <w:marLeft w:val="0"/>
                  <w:marRight w:val="150"/>
                  <w:marTop w:val="0"/>
                  <w:marBottom w:val="0"/>
                  <w:divBdr>
                    <w:top w:val="none" w:sz="0" w:space="0" w:color="auto"/>
                    <w:left w:val="none" w:sz="0" w:space="0" w:color="auto"/>
                    <w:bottom w:val="none" w:sz="0" w:space="0" w:color="auto"/>
                    <w:right w:val="none" w:sz="0" w:space="0" w:color="auto"/>
                  </w:divBdr>
                  <w:divsChild>
                    <w:div w:id="1322806510">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1725372591">
      <w:bodyDiv w:val="1"/>
      <w:marLeft w:val="0"/>
      <w:marRight w:val="0"/>
      <w:marTop w:val="0"/>
      <w:marBottom w:val="0"/>
      <w:divBdr>
        <w:top w:val="none" w:sz="0" w:space="0" w:color="auto"/>
        <w:left w:val="none" w:sz="0" w:space="0" w:color="auto"/>
        <w:bottom w:val="none" w:sz="0" w:space="0" w:color="auto"/>
        <w:right w:val="none" w:sz="0" w:space="0" w:color="auto"/>
      </w:divBdr>
    </w:div>
    <w:div w:id="1725644544">
      <w:bodyDiv w:val="1"/>
      <w:marLeft w:val="0"/>
      <w:marRight w:val="0"/>
      <w:marTop w:val="0"/>
      <w:marBottom w:val="0"/>
      <w:divBdr>
        <w:top w:val="none" w:sz="0" w:space="0" w:color="auto"/>
        <w:left w:val="none" w:sz="0" w:space="0" w:color="auto"/>
        <w:bottom w:val="none" w:sz="0" w:space="0" w:color="auto"/>
        <w:right w:val="none" w:sz="0" w:space="0" w:color="auto"/>
      </w:divBdr>
    </w:div>
    <w:div w:id="1732314260">
      <w:bodyDiv w:val="1"/>
      <w:marLeft w:val="0"/>
      <w:marRight w:val="0"/>
      <w:marTop w:val="0"/>
      <w:marBottom w:val="0"/>
      <w:divBdr>
        <w:top w:val="none" w:sz="0" w:space="0" w:color="auto"/>
        <w:left w:val="none" w:sz="0" w:space="0" w:color="auto"/>
        <w:bottom w:val="none" w:sz="0" w:space="0" w:color="auto"/>
        <w:right w:val="none" w:sz="0" w:space="0" w:color="auto"/>
      </w:divBdr>
    </w:div>
    <w:div w:id="1769035492">
      <w:bodyDiv w:val="1"/>
      <w:marLeft w:val="0"/>
      <w:marRight w:val="0"/>
      <w:marTop w:val="0"/>
      <w:marBottom w:val="0"/>
      <w:divBdr>
        <w:top w:val="none" w:sz="0" w:space="0" w:color="auto"/>
        <w:left w:val="none" w:sz="0" w:space="0" w:color="auto"/>
        <w:bottom w:val="none" w:sz="0" w:space="0" w:color="auto"/>
        <w:right w:val="none" w:sz="0" w:space="0" w:color="auto"/>
      </w:divBdr>
    </w:div>
    <w:div w:id="1882746884">
      <w:bodyDiv w:val="1"/>
      <w:marLeft w:val="0"/>
      <w:marRight w:val="0"/>
      <w:marTop w:val="0"/>
      <w:marBottom w:val="0"/>
      <w:divBdr>
        <w:top w:val="none" w:sz="0" w:space="0" w:color="auto"/>
        <w:left w:val="none" w:sz="0" w:space="0" w:color="auto"/>
        <w:bottom w:val="none" w:sz="0" w:space="0" w:color="auto"/>
        <w:right w:val="none" w:sz="0" w:space="0" w:color="auto"/>
      </w:divBdr>
    </w:div>
    <w:div w:id="19008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AU" sz="1200" b="0" i="0" baseline="0">
                <a:effectLst/>
              </a:rPr>
              <a:t>Figure 1.  Real Wages and Labour Productivity growth - Australia </a:t>
            </a:r>
            <a:br>
              <a:rPr lang="en-AU" sz="1200" b="0" i="0" baseline="0">
                <a:effectLst/>
              </a:rPr>
            </a:br>
            <a:r>
              <a:rPr lang="en-AU" sz="1200" b="0" i="0" baseline="0">
                <a:effectLst/>
              </a:rPr>
              <a:t>(Index 2001/02 =100) </a:t>
            </a:r>
            <a:br>
              <a:rPr lang="en-AU" sz="1200" b="0" i="0" baseline="0">
                <a:effectLst/>
              </a:rPr>
            </a:br>
            <a:r>
              <a:rPr lang="en-AU" sz="1200" b="0" i="0" baseline="0">
                <a:effectLst/>
              </a:rPr>
              <a:t>2001/02 to 2017/18</a:t>
            </a:r>
            <a:endParaRPr lang="en-AU" sz="1200" baseline="0">
              <a:effectLst/>
            </a:endParaRPr>
          </a:p>
        </c:rich>
      </c:tx>
      <c:layout>
        <c:manualLayout>
          <c:xMode val="edge"/>
          <c:yMode val="edge"/>
          <c:x val="0.1923033972168573"/>
          <c:y val="2.6607789855072464E-2"/>
        </c:manualLayout>
      </c:layout>
      <c:overlay val="0"/>
    </c:title>
    <c:autoTitleDeleted val="0"/>
    <c:plotArea>
      <c:layout/>
      <c:lineChart>
        <c:grouping val="standard"/>
        <c:varyColors val="0"/>
        <c:ser>
          <c:idx val="0"/>
          <c:order val="0"/>
          <c:tx>
            <c:v>Labour productivity</c:v>
          </c:tx>
          <c:spPr>
            <a:ln w="28575" cap="rnd">
              <a:solidFill>
                <a:schemeClr val="accent1"/>
              </a:solidFill>
              <a:round/>
            </a:ln>
            <a:effectLst/>
          </c:spPr>
          <c:marker>
            <c:symbol val="none"/>
          </c:marker>
          <c:cat>
            <c:strRef>
              <c:f>Sheet1!$A$44:$A$60</c:f>
              <c:strCache>
                <c:ptCount val="17"/>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strCache>
            </c:strRef>
          </c:cat>
          <c:val>
            <c:numRef>
              <c:f>Sheet1!$C$44:$C$60</c:f>
              <c:numCache>
                <c:formatCode>0.00</c:formatCode>
                <c:ptCount val="17"/>
                <c:pt idx="0">
                  <c:v>100</c:v>
                </c:pt>
                <c:pt idx="1">
                  <c:v>100.72202166064982</c:v>
                </c:pt>
                <c:pt idx="2">
                  <c:v>103.48977135980745</c:v>
                </c:pt>
                <c:pt idx="3">
                  <c:v>103.85078219013236</c:v>
                </c:pt>
                <c:pt idx="4">
                  <c:v>104.81347773766545</c:v>
                </c:pt>
                <c:pt idx="5">
                  <c:v>105.53549939831527</c:v>
                </c:pt>
                <c:pt idx="6">
                  <c:v>106.13718411552344</c:v>
                </c:pt>
                <c:pt idx="7">
                  <c:v>107.34055354993981</c:v>
                </c:pt>
                <c:pt idx="8">
                  <c:v>109.38628158844763</c:v>
                </c:pt>
                <c:pt idx="9">
                  <c:v>109.14560770156436</c:v>
                </c:pt>
                <c:pt idx="10">
                  <c:v>112.03369434416365</c:v>
                </c:pt>
                <c:pt idx="11">
                  <c:v>114.1997593261131</c:v>
                </c:pt>
                <c:pt idx="12">
                  <c:v>116.4861612515042</c:v>
                </c:pt>
                <c:pt idx="13">
                  <c:v>117.93020457280385</c:v>
                </c:pt>
                <c:pt idx="14">
                  <c:v>119.25391095066185</c:v>
                </c:pt>
                <c:pt idx="15">
                  <c:v>120.33694344163658</c:v>
                </c:pt>
                <c:pt idx="16">
                  <c:v>120.57761732851985</c:v>
                </c:pt>
              </c:numCache>
            </c:numRef>
          </c:val>
          <c:smooth val="0"/>
          <c:extLst xmlns:c16r2="http://schemas.microsoft.com/office/drawing/2015/06/chart">
            <c:ext xmlns:c16="http://schemas.microsoft.com/office/drawing/2014/chart" uri="{C3380CC4-5D6E-409C-BE32-E72D297353CC}">
              <c16:uniqueId val="{00000000-6191-44B3-9E20-428487C303C9}"/>
            </c:ext>
          </c:extLst>
        </c:ser>
        <c:ser>
          <c:idx val="1"/>
          <c:order val="1"/>
          <c:tx>
            <c:v>Real WPI</c:v>
          </c:tx>
          <c:spPr>
            <a:ln w="28575" cap="rnd">
              <a:solidFill>
                <a:schemeClr val="accent2"/>
              </a:solidFill>
              <a:round/>
            </a:ln>
            <a:effectLst/>
          </c:spPr>
          <c:marker>
            <c:symbol val="none"/>
          </c:marker>
          <c:cat>
            <c:strRef>
              <c:f>Sheet1!$A$44:$A$60</c:f>
              <c:strCache>
                <c:ptCount val="17"/>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strCache>
            </c:strRef>
          </c:cat>
          <c:val>
            <c:numRef>
              <c:f>Sheet1!$D$44:$D$60</c:f>
              <c:numCache>
                <c:formatCode>0.00</c:formatCode>
                <c:ptCount val="17"/>
                <c:pt idx="0">
                  <c:v>99.999660972517219</c:v>
                </c:pt>
                <c:pt idx="1">
                  <c:v>101.00159474404006</c:v>
                </c:pt>
                <c:pt idx="2">
                  <c:v>102.07920881057551</c:v>
                </c:pt>
                <c:pt idx="3">
                  <c:v>103.59504073421273</c:v>
                </c:pt>
                <c:pt idx="4">
                  <c:v>103.76772571722783</c:v>
                </c:pt>
                <c:pt idx="5">
                  <c:v>105.73941694944757</c:v>
                </c:pt>
                <c:pt idx="6">
                  <c:v>105.5511638855594</c:v>
                </c:pt>
                <c:pt idx="7">
                  <c:v>108.05049871088568</c:v>
                </c:pt>
                <c:pt idx="8">
                  <c:v>107.98087425762581</c:v>
                </c:pt>
                <c:pt idx="9">
                  <c:v>108.28180686161414</c:v>
                </c:pt>
                <c:pt idx="10">
                  <c:v>110.86410340773791</c:v>
                </c:pt>
                <c:pt idx="11">
                  <c:v>111.46887242825549</c:v>
                </c:pt>
                <c:pt idx="12">
                  <c:v>110.99774757017893</c:v>
                </c:pt>
                <c:pt idx="13">
                  <c:v>111.84552911165102</c:v>
                </c:pt>
                <c:pt idx="14">
                  <c:v>113.00430724208175</c:v>
                </c:pt>
                <c:pt idx="15">
                  <c:v>113.00808649867487</c:v>
                </c:pt>
                <c:pt idx="16">
                  <c:v>113.07598150544374</c:v>
                </c:pt>
              </c:numCache>
            </c:numRef>
          </c:val>
          <c:smooth val="0"/>
          <c:extLst xmlns:c16r2="http://schemas.microsoft.com/office/drawing/2015/06/chart">
            <c:ext xmlns:c16="http://schemas.microsoft.com/office/drawing/2014/chart" uri="{C3380CC4-5D6E-409C-BE32-E72D297353CC}">
              <c16:uniqueId val="{00000001-6191-44B3-9E20-428487C303C9}"/>
            </c:ext>
          </c:extLst>
        </c:ser>
        <c:dLbls>
          <c:showLegendKey val="0"/>
          <c:showVal val="0"/>
          <c:showCatName val="0"/>
          <c:showSerName val="0"/>
          <c:showPercent val="0"/>
          <c:showBubbleSize val="0"/>
        </c:dLbls>
        <c:marker val="1"/>
        <c:smooth val="0"/>
        <c:axId val="372647040"/>
        <c:axId val="372648576"/>
      </c:lineChart>
      <c:dateAx>
        <c:axId val="3726470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648576"/>
        <c:crosses val="autoZero"/>
        <c:auto val="0"/>
        <c:lblOffset val="100"/>
        <c:baseTimeUnit val="days"/>
      </c:dateAx>
      <c:valAx>
        <c:axId val="372648576"/>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647040"/>
        <c:crossesAt val="1"/>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40b65710-e3b0-4eb7-a562-55c43e5811c0">R0000131765</RecordNumber>
    <CommentsDescription xmlns="40b65710-e3b0-4eb7-a562-55c43e5811c0" xsi:nil="true"/>
    <TaxKeywordTaxHTField xmlns="40b65710-e3b0-4eb7-a562-55c43e5811c0">
      <Terms xmlns="http://schemas.microsoft.com/office/infopath/2007/PartnerControls"/>
    </TaxKeywordTaxHTField>
    <RecordID xmlns="4d6f4864-3c70-4691-967b-d9c6fdcbad5d">AA8-REC1104</RecordID>
    <TaxCatchAll xmlns="40b65710-e3b0-4eb7-a562-55c43e5811c0"/>
  </documentManagement>
</p:properties>
</file>

<file path=customXml/item4.xml><?xml version="1.0" encoding="utf-8"?>
<ct:contentTypeSchema xmlns:ct="http://schemas.microsoft.com/office/2006/metadata/contentType" xmlns:ma="http://schemas.microsoft.com/office/2006/metadata/properties/metaAttributes" ct:_="" ma:_="" ma:contentTypeName="Attachments" ma:contentTypeID="0x0101008ABC7B85FF322D4B8AE3B78A6C4BF8F20F00744FFCA7E76F914487EF468E92A85B4E" ma:contentTypeVersion="5" ma:contentTypeDescription="" ma:contentTypeScope="" ma:versionID="70c6265f9a3b862fdfb97736ebbf9c44">
  <xsd:schema xmlns:xsd="http://www.w3.org/2001/XMLSchema" xmlns:xs="http://www.w3.org/2001/XMLSchema" xmlns:p="http://schemas.microsoft.com/office/2006/metadata/properties" xmlns:ns2="40b65710-e3b0-4eb7-a562-55c43e5811c0" xmlns:ns3="4d6f4864-3c70-4691-967b-d9c6fdcbad5d" targetNamespace="http://schemas.microsoft.com/office/2006/metadata/properties" ma:root="true" ma:fieldsID="544579f9d1235327c8bfaa0c1ecc06a7" ns2:_="" ns3:_="">
    <xsd:import namespace="40b65710-e3b0-4eb7-a562-55c43e5811c0"/>
    <xsd:import namespace="4d6f4864-3c70-4691-967b-d9c6fdcbad5d"/>
    <xsd:element name="properties">
      <xsd:complexType>
        <xsd:sequence>
          <xsd:element name="documentManagement">
            <xsd:complexType>
              <xsd:all>
                <xsd:element ref="ns2:RecordNumber" minOccurs="0"/>
                <xsd:element ref="ns2:CommentsDescription" minOccurs="0"/>
                <xsd:element ref="ns2:TaxKeywordTaxHTField" minOccurs="0"/>
                <xsd:element ref="ns2:TaxCatchAll" minOccurs="0"/>
                <xsd:element ref="ns2:TaxCatchAllLabel" minOccurs="0"/>
                <xsd:element ref="ns3:Recor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5710-e3b0-4eb7-a562-55c43e5811c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ma:readOnly="false">
      <xsd:simpleType>
        <xsd:restriction base="dms:Text">
          <xsd:maxLength value="255"/>
        </xsd:restriction>
      </xsd:simpleType>
    </xsd:element>
    <xsd:element name="CommentsDescription" ma:index="9" nillable="true" ma:displayName="Comments/Description" ma:internalName="Comments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758299f-2f9a-4a85-a0bd-be3333e5cb78"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f84d04a-202c-4d34-aa76-3e5b74bffff3}" ma:internalName="TaxCatchAll" ma:showField="CatchAllData" ma:web="40b65710-e3b0-4eb7-a562-55c43e5811c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f84d04a-202c-4d34-aa76-3e5b74bffff3}" ma:internalName="TaxCatchAllLabel" ma:readOnly="true" ma:showField="CatchAllDataLabel" ma:web="40b65710-e3b0-4eb7-a562-55c43e5811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f4864-3c70-4691-967b-d9c6fdcbad5d" elementFormDefault="qualified">
    <xsd:import namespace="http://schemas.microsoft.com/office/2006/documentManagement/types"/>
    <xsd:import namespace="http://schemas.microsoft.com/office/infopath/2007/PartnerControls"/>
    <xsd:element name="RecordID" ma:index="14" nillable="true" ma:displayName="Record ID" ma:internalName="Record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351B31565A008F4BA25A6100E2278DD3" ma:contentTypeVersion="10" ma:contentTypeDescription="QTT document content type to be used in active sites" ma:contentTypeScope="" ma:versionID="15e354715c78a65f814fe23436894be3">
  <xsd:schema xmlns:xsd="http://www.w3.org/2001/XMLSchema" xmlns:xs="http://www.w3.org/2001/XMLSchema" xmlns:p="http://schemas.microsoft.com/office/2006/metadata/properties" xmlns:ns2="http://schemas.microsoft.com/Sharepoint/v3" xmlns:ns3="621cf084-3119-46e0-9e63-2f9d7323e329" xmlns:ns4="843ed0bc-962f-430c-8cc6-3c93a5dec404" xmlns:ns5="http://schemas.microsoft.com/sharepoint/v4" targetNamespace="http://schemas.microsoft.com/office/2006/metadata/properties" ma:root="true" ma:fieldsID="b1d60e5d8b0dca3bbb1cba0affb0bec7" ns2:_="" ns3:_="" ns4:_="" ns5:_="">
    <xsd:import namespace="http://schemas.microsoft.com/Sharepoint/v3"/>
    <xsd:import namespace="621cf084-3119-46e0-9e63-2f9d7323e329"/>
    <xsd:import namespace="843ed0bc-962f-430c-8cc6-3c93a5dec404"/>
    <xsd:import namespace="http://schemas.microsoft.com/sharepoint/v4"/>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4:Advice_x0020_type" minOccurs="0"/>
                <xsd:element ref="ns4:Clien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1cf084-3119-46e0-9e63-2f9d7323e329"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3ed0bc-962f-430c-8cc6-3c93a5dec404" elementFormDefault="qualified">
    <xsd:import namespace="http://schemas.microsoft.com/office/2006/documentManagement/types"/>
    <xsd:import namespace="http://schemas.microsoft.com/office/infopath/2007/PartnerControls"/>
    <xsd:element name="Advice_x0020_type" ma:index="15" nillable="true" ma:displayName="Advice type" ma:format="Dropdown" ma:internalName="Advice_x0020_type">
      <xsd:simpleType>
        <xsd:restriction base="dms:Choice">
          <xsd:enumeration value="Presentation"/>
          <xsd:enumeration value="Speech"/>
          <xsd:enumeration value="Press release"/>
          <xsd:enumeration value="Estimates"/>
          <xsd:enumeration value="PPQ"/>
          <xsd:enumeration value="TBBN"/>
          <xsd:enumeration value="Other"/>
          <xsd:enumeration value="APPQs Estimates"/>
        </xsd:restriction>
      </xsd:simpleType>
    </xsd:element>
    <xsd:element name="Client" ma:index="16" nillable="true" ma:displayName="Client" ma:default="Treasurer's Office" ma:format="Dropdown" ma:internalName="Client">
      <xsd:simpleType>
        <xsd:restriction base="dms:Choice">
          <xsd:enumeration value="Treasurer's Office"/>
          <xsd:enumeration value="CLLO"/>
          <xsd:enumeration value="UT"/>
          <xsd:enumeration value="DUT"/>
          <xsd:enumeration value="DPC"/>
          <xsd:enumeration value="QTC"/>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68FE-CA0A-4DCF-8461-514C1EA74E49}">
  <ds:schemaRefs>
    <ds:schemaRef ds:uri="http://schemas.microsoft.com/office/2006/metadata/customXsn"/>
  </ds:schemaRefs>
</ds:datastoreItem>
</file>

<file path=customXml/itemProps2.xml><?xml version="1.0" encoding="utf-8"?>
<ds:datastoreItem xmlns:ds="http://schemas.openxmlformats.org/officeDocument/2006/customXml" ds:itemID="{CD9567D1-9998-412A-AA73-D27FCCCB13DB}">
  <ds:schemaRefs>
    <ds:schemaRef ds:uri="http://schemas.microsoft.com/sharepoint/v3/contenttype/forms"/>
  </ds:schemaRefs>
</ds:datastoreItem>
</file>

<file path=customXml/itemProps3.xml><?xml version="1.0" encoding="utf-8"?>
<ds:datastoreItem xmlns:ds="http://schemas.openxmlformats.org/officeDocument/2006/customXml" ds:itemID="{409917FB-591B-4806-84E6-D50B03C4E998}">
  <ds:schemaRefs>
    <ds:schemaRef ds:uri="4d6f4864-3c70-4691-967b-d9c6fdcbad5d"/>
    <ds:schemaRef ds:uri="http://purl.org/dc/terms/"/>
    <ds:schemaRef ds:uri="40b65710-e3b0-4eb7-a562-55c43e5811c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D3F74D-A0BF-4D65-9190-C1066204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5710-e3b0-4eb7-a562-55c43e5811c0"/>
    <ds:schemaRef ds:uri="4d6f4864-3c70-4691-967b-d9c6fdcba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EF699-6A18-4486-93DC-F033F5C61C66}">
  <ds:schemaRefs>
    <ds:schemaRef ds:uri="http://schemas.microsoft.com/sharepoint/events"/>
  </ds:schemaRefs>
</ds:datastoreItem>
</file>

<file path=customXml/itemProps6.xml><?xml version="1.0" encoding="utf-8"?>
<ds:datastoreItem xmlns:ds="http://schemas.openxmlformats.org/officeDocument/2006/customXml" ds:itemID="{E74065C2-EBE6-4079-BAD3-E00ADABC3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1cf084-3119-46e0-9e63-2f9d7323e329"/>
    <ds:schemaRef ds:uri="843ed0bc-962f-430c-8cc6-3c93a5dec4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DCB74F-A494-4EAA-83D5-C2BADE1B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5398</Words>
  <Characters>30769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Queensland Government submission to the fair work commission</vt:lpstr>
    </vt:vector>
  </TitlesOfParts>
  <Company>Department of Justice and Attorney-General</Company>
  <LinksUpToDate>false</LinksUpToDate>
  <CharactersWithSpaces>36095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 submission to the fair work commission</dc:title>
  <dc:subject>Annual Wage Review 2018–19</dc:subject>
  <dc:creator>Queensland Government</dc:creator>
  <cp:lastModifiedBy>yuen</cp:lastModifiedBy>
  <cp:revision>2</cp:revision>
  <cp:lastPrinted>2019-03-04T23:45:00Z</cp:lastPrinted>
  <dcterms:created xsi:type="dcterms:W3CDTF">2019-03-15T05:54:00Z</dcterms:created>
  <dcterms:modified xsi:type="dcterms:W3CDTF">2019-03-15T05:54:00Z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9c54aba3-c61d-4c5b-8cc5-3902ed7ae730</vt:lpwstr>
  </property>
  <property fmtid="{D5CDD505-2E9C-101B-9397-08002B2CF9AE}" pid="3" name="ContentTypeId">
    <vt:lpwstr>0x0101008ABC7B85FF322D4B8AE3B78A6C4BF8F20F00744FFCA7E76F914487EF468E92A85B4E</vt:lpwstr>
  </property>
  <property fmtid="{D5CDD505-2E9C-101B-9397-08002B2CF9AE}" pid="4" name="RecordPoint_WorkflowType">
    <vt:lpwstr>ActiveSubmitStub</vt:lpwstr>
  </property>
  <property fmtid="{D5CDD505-2E9C-101B-9397-08002B2CF9AE}" pid="5" name="RecordPoint_ActiveItemListId">
    <vt:lpwstr>{4d6f4864-3c70-4691-967b-d9c6fdcbad5d}</vt:lpwstr>
  </property>
  <property fmtid="{D5CDD505-2E9C-101B-9397-08002B2CF9AE}" pid="6" name="RecordPoint_ActiveItemUniqueId">
    <vt:lpwstr>{b011b524-9881-4618-9531-d0ee4ff7d2af}</vt:lpwstr>
  </property>
  <property fmtid="{D5CDD505-2E9C-101B-9397-08002B2CF9AE}" pid="7" name="RecordPoint_ActiveItemWebId">
    <vt:lpwstr>{5ace9747-c160-4c91-a7dd-b3653c339d33}</vt:lpwstr>
  </property>
  <property fmtid="{D5CDD505-2E9C-101B-9397-08002B2CF9AE}" pid="8" name="RecordPoint_ActiveItemSiteId">
    <vt:lpwstr>{6a31b40d-2886-4f0b-82a0-176ad4f012a0}</vt:lpwstr>
  </property>
  <property fmtid="{D5CDD505-2E9C-101B-9397-08002B2CF9AE}" pid="9" name="_NewReviewCycle">
    <vt:lpwstr/>
  </property>
  <property fmtid="{D5CDD505-2E9C-101B-9397-08002B2CF9AE}" pid="10" name="RecordPoint_SubmissionDate">
    <vt:lpwstr/>
  </property>
  <property fmtid="{D5CDD505-2E9C-101B-9397-08002B2CF9AE}" pid="11" name="RecordPoint_RecordNumberSubmitted">
    <vt:lpwstr>R0000131765</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2019-03-05T14:42:25.8558475+10:00</vt:lpwstr>
  </property>
  <property fmtid="{D5CDD505-2E9C-101B-9397-08002B2CF9AE}" pid="15" name="TaxKeyword">
    <vt:lpwstr/>
  </property>
  <property fmtid="{D5CDD505-2E9C-101B-9397-08002B2CF9AE}" pid="16" name="EnteredDate">
    <vt:filetime>2019-03-05T04:37:13Z</vt:filetime>
  </property>
  <property fmtid="{D5CDD505-2E9C-101B-9397-08002B2CF9AE}" pid="17" name="ActionOfficers">
    <vt:lpwstr/>
  </property>
  <property fmtid="{D5CDD505-2E9C-101B-9397-08002B2CF9AE}" pid="18" name="WorkflowChangePath">
    <vt:lpwstr>5f4b8045-1d74-4477-9553-472ae36d73b7,4;</vt:lpwstr>
  </property>
  <property fmtid="{D5CDD505-2E9C-101B-9397-08002B2CF9AE}" pid="19" name="_AdHocReviewCycleID">
    <vt:i4>1995481841</vt:i4>
  </property>
  <property fmtid="{D5CDD505-2E9C-101B-9397-08002B2CF9AE}" pid="20" name="_EmailSubject">
    <vt:lpwstr>Queensland Government Submission to the Annual Wage Review </vt:lpwstr>
  </property>
  <property fmtid="{D5CDD505-2E9C-101B-9397-08002B2CF9AE}" pid="21" name="_AuthorEmail">
    <vt:lpwstr>caroline.obrien@oir.qld.gov.au</vt:lpwstr>
  </property>
  <property fmtid="{D5CDD505-2E9C-101B-9397-08002B2CF9AE}" pid="22" name="_AuthorEmailDisplayName">
    <vt:lpwstr>Caroline O'Brien</vt:lpwstr>
  </property>
  <property fmtid="{D5CDD505-2E9C-101B-9397-08002B2CF9AE}" pid="23" name="_ReviewingToolsShownOnce">
    <vt:lpwstr/>
  </property>
</Properties>
</file>