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26F" w:rsidRPr="00894F49" w:rsidRDefault="001F726F" w:rsidP="001F726F">
      <w:pPr>
        <w:keepNext/>
        <w:spacing w:after="0" w:line="240" w:lineRule="auto"/>
        <w:outlineLvl w:val="0"/>
        <w:rPr>
          <w:rFonts w:ascii="Arial" w:eastAsia="Times New Roman" w:hAnsi="Arial" w:cs="Arial"/>
          <w:b/>
          <w:bCs/>
          <w:kern w:val="32"/>
          <w:sz w:val="32"/>
          <w:szCs w:val="32"/>
        </w:rPr>
      </w:pPr>
    </w:p>
    <w:p w:rsidR="001F726F" w:rsidRPr="00894F49" w:rsidRDefault="001F726F" w:rsidP="001F726F">
      <w:pPr>
        <w:keepNext/>
        <w:spacing w:after="0" w:line="240" w:lineRule="auto"/>
        <w:outlineLvl w:val="0"/>
        <w:rPr>
          <w:rFonts w:ascii="Arial" w:eastAsia="Times New Roman" w:hAnsi="Arial" w:cs="Arial"/>
          <w:b/>
          <w:bCs/>
          <w:kern w:val="32"/>
          <w:sz w:val="32"/>
          <w:szCs w:val="32"/>
        </w:rPr>
      </w:pPr>
    </w:p>
    <w:p w:rsidR="001F726F" w:rsidRPr="00894F49" w:rsidRDefault="001F726F" w:rsidP="001F726F">
      <w:pPr>
        <w:keepNext/>
        <w:spacing w:after="0" w:line="240" w:lineRule="auto"/>
        <w:ind w:left="-567"/>
        <w:outlineLvl w:val="0"/>
        <w:rPr>
          <w:rFonts w:ascii="Arial" w:eastAsia="Times New Roman" w:hAnsi="Arial" w:cs="Arial"/>
          <w:b/>
          <w:bCs/>
          <w:kern w:val="32"/>
          <w:sz w:val="32"/>
          <w:szCs w:val="32"/>
        </w:rPr>
      </w:pPr>
    </w:p>
    <w:p w:rsidR="001F726F" w:rsidRPr="00894F49" w:rsidRDefault="001F726F" w:rsidP="001F726F">
      <w:pPr>
        <w:keepNext/>
        <w:spacing w:after="0" w:line="240" w:lineRule="auto"/>
        <w:ind w:left="-567"/>
        <w:outlineLvl w:val="0"/>
        <w:rPr>
          <w:rFonts w:ascii="Arial" w:eastAsia="Times New Roman" w:hAnsi="Arial" w:cs="Arial"/>
          <w:b/>
          <w:bCs/>
          <w:kern w:val="32"/>
          <w:sz w:val="32"/>
          <w:szCs w:val="32"/>
        </w:rPr>
      </w:pPr>
    </w:p>
    <w:p w:rsidR="001F726F" w:rsidRPr="0060351D" w:rsidRDefault="001F726F" w:rsidP="001F726F">
      <w:pPr>
        <w:spacing w:after="0" w:line="240" w:lineRule="auto"/>
        <w:ind w:left="-567" w:hanging="360"/>
        <w:jc w:val="center"/>
        <w:rPr>
          <w:rFonts w:ascii="Arial" w:eastAsia="Times New Roman" w:hAnsi="Arial" w:cs="Arial"/>
          <w:bCs/>
          <w:kern w:val="32"/>
          <w:sz w:val="24"/>
          <w:szCs w:val="24"/>
        </w:rPr>
      </w:pPr>
      <w:r w:rsidRPr="00894F49">
        <w:rPr>
          <w:noProof/>
          <w:lang w:eastAsia="en-AU"/>
        </w:rPr>
        <w:drawing>
          <wp:inline distT="0" distB="0" distL="0" distR="0" wp14:anchorId="5EB8D884" wp14:editId="7457172B">
            <wp:extent cx="1714500" cy="1655485"/>
            <wp:effectExtent l="0" t="0" r="0" b="1905"/>
            <wp:docPr id="1" name="Picture 1" descr="https://commonbadge.dpc.wa.gov.au/PublishingImages/downloads/govOfWA+Text/govOfWA+TextColour_562x542.jpg" title="Government of Western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monbadge.dpc.wa.gov.au/PublishingImages/downloads/govOfWA+Text/govOfWA+TextColour_562x54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641" cy="1655621"/>
                    </a:xfrm>
                    <a:prstGeom prst="rect">
                      <a:avLst/>
                    </a:prstGeom>
                    <a:noFill/>
                    <a:ln>
                      <a:noFill/>
                    </a:ln>
                  </pic:spPr>
                </pic:pic>
              </a:graphicData>
            </a:graphic>
          </wp:inline>
        </w:drawing>
      </w:r>
    </w:p>
    <w:p w:rsidR="001F726F" w:rsidRPr="00894F49" w:rsidRDefault="001F726F" w:rsidP="001F726F">
      <w:pPr>
        <w:spacing w:after="0" w:line="240" w:lineRule="auto"/>
        <w:ind w:left="-567"/>
        <w:rPr>
          <w:rFonts w:ascii="Arial" w:eastAsia="Times New Roman" w:hAnsi="Arial" w:cs="Arial"/>
          <w:bCs/>
          <w:kern w:val="32"/>
          <w:sz w:val="24"/>
          <w:szCs w:val="24"/>
        </w:rPr>
      </w:pPr>
    </w:p>
    <w:p w:rsidR="001F726F" w:rsidRPr="00894F49" w:rsidRDefault="001F726F" w:rsidP="001F726F">
      <w:pPr>
        <w:spacing w:after="0" w:line="240" w:lineRule="auto"/>
        <w:ind w:left="-567"/>
        <w:rPr>
          <w:rFonts w:ascii="Arial" w:eastAsia="Times New Roman" w:hAnsi="Arial" w:cs="Arial"/>
          <w:bCs/>
          <w:kern w:val="32"/>
          <w:sz w:val="24"/>
          <w:szCs w:val="24"/>
        </w:rPr>
      </w:pPr>
    </w:p>
    <w:p w:rsidR="001F726F" w:rsidRPr="00894F49" w:rsidRDefault="001F726F" w:rsidP="001F726F">
      <w:pPr>
        <w:spacing w:after="0" w:line="240" w:lineRule="auto"/>
        <w:ind w:left="-567"/>
        <w:jc w:val="center"/>
        <w:rPr>
          <w:rFonts w:ascii="Arial" w:eastAsia="Times New Roman" w:hAnsi="Arial" w:cs="Arial"/>
          <w:b/>
          <w:bCs/>
          <w:kern w:val="32"/>
          <w:sz w:val="52"/>
          <w:szCs w:val="52"/>
        </w:rPr>
      </w:pPr>
    </w:p>
    <w:p w:rsidR="001F726F" w:rsidRPr="0060351D" w:rsidRDefault="001F726F" w:rsidP="001F726F">
      <w:pPr>
        <w:spacing w:after="0" w:line="240" w:lineRule="auto"/>
        <w:ind w:left="-567"/>
        <w:jc w:val="center"/>
        <w:rPr>
          <w:rFonts w:ascii="Arial" w:eastAsia="Times New Roman" w:hAnsi="Arial" w:cs="Arial"/>
          <w:b/>
          <w:bCs/>
          <w:kern w:val="32"/>
          <w:sz w:val="52"/>
          <w:szCs w:val="52"/>
        </w:rPr>
      </w:pPr>
      <w:r w:rsidRPr="0060351D">
        <w:rPr>
          <w:rFonts w:ascii="Arial" w:eastAsia="Times New Roman" w:hAnsi="Arial" w:cs="Arial"/>
          <w:b/>
          <w:bCs/>
          <w:kern w:val="32"/>
          <w:sz w:val="52"/>
          <w:szCs w:val="52"/>
        </w:rPr>
        <w:t>Fair Work Commission</w:t>
      </w:r>
    </w:p>
    <w:p w:rsidR="001F726F" w:rsidRPr="00894F49" w:rsidRDefault="001F726F" w:rsidP="001F726F">
      <w:pPr>
        <w:spacing w:after="0" w:line="240" w:lineRule="auto"/>
        <w:ind w:left="-567"/>
        <w:jc w:val="center"/>
        <w:rPr>
          <w:rFonts w:ascii="Arial" w:eastAsia="Times New Roman" w:hAnsi="Arial" w:cs="Arial"/>
          <w:b/>
          <w:bCs/>
          <w:kern w:val="32"/>
          <w:sz w:val="52"/>
          <w:szCs w:val="52"/>
        </w:rPr>
      </w:pPr>
    </w:p>
    <w:p w:rsidR="001F726F" w:rsidRPr="00894F49" w:rsidRDefault="001F726F" w:rsidP="001F726F">
      <w:pPr>
        <w:spacing w:after="0" w:line="240" w:lineRule="auto"/>
        <w:ind w:left="-567"/>
        <w:jc w:val="center"/>
        <w:rPr>
          <w:rFonts w:ascii="Arial" w:eastAsia="Times New Roman" w:hAnsi="Arial" w:cs="Arial"/>
          <w:b/>
          <w:bCs/>
          <w:kern w:val="32"/>
          <w:sz w:val="52"/>
          <w:szCs w:val="52"/>
        </w:rPr>
      </w:pPr>
    </w:p>
    <w:p w:rsidR="001F726F" w:rsidRPr="0060351D" w:rsidRDefault="001F726F" w:rsidP="001F726F">
      <w:pPr>
        <w:spacing w:after="0" w:line="240" w:lineRule="auto"/>
        <w:ind w:left="-567" w:hanging="360"/>
        <w:jc w:val="center"/>
        <w:rPr>
          <w:rFonts w:ascii="Arial" w:eastAsia="Times New Roman" w:hAnsi="Arial" w:cs="Arial"/>
          <w:b/>
          <w:bCs/>
          <w:kern w:val="32"/>
          <w:sz w:val="52"/>
          <w:szCs w:val="52"/>
        </w:rPr>
      </w:pPr>
      <w:r w:rsidRPr="0060351D">
        <w:rPr>
          <w:rFonts w:ascii="Arial" w:eastAsia="Times New Roman" w:hAnsi="Arial" w:cs="Arial"/>
          <w:b/>
          <w:bCs/>
          <w:kern w:val="32"/>
          <w:sz w:val="52"/>
          <w:szCs w:val="52"/>
        </w:rPr>
        <w:t>201</w:t>
      </w:r>
      <w:r>
        <w:rPr>
          <w:rFonts w:ascii="Arial" w:eastAsia="Times New Roman" w:hAnsi="Arial" w:cs="Arial"/>
          <w:b/>
          <w:bCs/>
          <w:kern w:val="32"/>
          <w:sz w:val="52"/>
          <w:szCs w:val="52"/>
        </w:rPr>
        <w:t>8</w:t>
      </w:r>
      <w:r w:rsidRPr="0060351D">
        <w:rPr>
          <w:rFonts w:ascii="Arial" w:eastAsia="Times New Roman" w:hAnsi="Arial" w:cs="Arial"/>
          <w:b/>
          <w:bCs/>
          <w:kern w:val="32"/>
          <w:sz w:val="52"/>
          <w:szCs w:val="52"/>
        </w:rPr>
        <w:t>-1</w:t>
      </w:r>
      <w:r>
        <w:rPr>
          <w:rFonts w:ascii="Arial" w:eastAsia="Times New Roman" w:hAnsi="Arial" w:cs="Arial"/>
          <w:b/>
          <w:bCs/>
          <w:kern w:val="32"/>
          <w:sz w:val="52"/>
          <w:szCs w:val="52"/>
        </w:rPr>
        <w:t>9</w:t>
      </w:r>
      <w:r w:rsidRPr="0060351D">
        <w:rPr>
          <w:rFonts w:ascii="Arial" w:eastAsia="Times New Roman" w:hAnsi="Arial" w:cs="Arial"/>
          <w:b/>
          <w:bCs/>
          <w:kern w:val="32"/>
          <w:sz w:val="52"/>
          <w:szCs w:val="52"/>
        </w:rPr>
        <w:t xml:space="preserve"> Annual Wage Review</w:t>
      </w:r>
    </w:p>
    <w:p w:rsidR="001F726F" w:rsidRPr="00894F49" w:rsidRDefault="001F726F" w:rsidP="001F726F">
      <w:pPr>
        <w:spacing w:after="0" w:line="240" w:lineRule="auto"/>
        <w:ind w:left="-567"/>
        <w:jc w:val="center"/>
        <w:rPr>
          <w:rFonts w:ascii="Arial" w:eastAsia="Times New Roman" w:hAnsi="Arial" w:cs="Arial"/>
          <w:b/>
          <w:bCs/>
          <w:kern w:val="32"/>
          <w:sz w:val="52"/>
          <w:szCs w:val="52"/>
        </w:rPr>
      </w:pPr>
    </w:p>
    <w:p w:rsidR="001F726F" w:rsidRPr="00894F49" w:rsidRDefault="001F726F" w:rsidP="001F726F">
      <w:pPr>
        <w:spacing w:after="0" w:line="240" w:lineRule="auto"/>
        <w:ind w:left="-567"/>
        <w:jc w:val="center"/>
        <w:rPr>
          <w:rFonts w:ascii="Arial" w:eastAsia="Times New Roman" w:hAnsi="Arial" w:cs="Arial"/>
          <w:b/>
          <w:bCs/>
          <w:kern w:val="32"/>
          <w:sz w:val="52"/>
          <w:szCs w:val="52"/>
        </w:rPr>
      </w:pPr>
    </w:p>
    <w:p w:rsidR="001F726F" w:rsidRPr="00894F49" w:rsidRDefault="001F726F" w:rsidP="001F726F">
      <w:pPr>
        <w:pBdr>
          <w:top w:val="single" w:sz="4" w:space="1" w:color="auto"/>
        </w:pBdr>
        <w:spacing w:after="0" w:line="240" w:lineRule="auto"/>
        <w:ind w:left="-567"/>
      </w:pPr>
    </w:p>
    <w:p w:rsidR="001F726F" w:rsidRPr="0060351D" w:rsidRDefault="001F726F" w:rsidP="001F726F">
      <w:pPr>
        <w:spacing w:after="0" w:line="240" w:lineRule="auto"/>
        <w:ind w:left="-567"/>
        <w:jc w:val="center"/>
        <w:rPr>
          <w:rFonts w:ascii="Arial" w:eastAsia="Times New Roman" w:hAnsi="Arial" w:cs="Arial"/>
          <w:b/>
          <w:bCs/>
          <w:color w:val="0070C0"/>
          <w:kern w:val="32"/>
          <w:sz w:val="52"/>
          <w:szCs w:val="52"/>
        </w:rPr>
      </w:pPr>
      <w:r w:rsidRPr="0060351D">
        <w:rPr>
          <w:rFonts w:ascii="Arial" w:eastAsia="Times New Roman" w:hAnsi="Arial" w:cs="Arial"/>
          <w:b/>
          <w:bCs/>
          <w:color w:val="0070C0"/>
          <w:kern w:val="32"/>
          <w:sz w:val="52"/>
          <w:szCs w:val="52"/>
        </w:rPr>
        <w:t xml:space="preserve">Submission of the </w:t>
      </w:r>
      <w:r>
        <w:rPr>
          <w:rFonts w:ascii="Arial" w:eastAsia="Times New Roman" w:hAnsi="Arial" w:cs="Arial"/>
          <w:b/>
          <w:bCs/>
          <w:color w:val="0070C0"/>
          <w:kern w:val="32"/>
          <w:sz w:val="52"/>
          <w:szCs w:val="52"/>
        </w:rPr>
        <w:br/>
      </w:r>
      <w:r w:rsidRPr="0060351D">
        <w:rPr>
          <w:rFonts w:ascii="Arial" w:eastAsia="Times New Roman" w:hAnsi="Arial" w:cs="Arial"/>
          <w:b/>
          <w:bCs/>
          <w:color w:val="0070C0"/>
          <w:kern w:val="32"/>
          <w:sz w:val="52"/>
          <w:szCs w:val="52"/>
        </w:rPr>
        <w:t>Government of Western Australia</w:t>
      </w:r>
    </w:p>
    <w:p w:rsidR="001F726F" w:rsidRPr="00894F49" w:rsidRDefault="001F726F" w:rsidP="001F726F">
      <w:pPr>
        <w:pBdr>
          <w:bottom w:val="single" w:sz="4" w:space="1" w:color="auto"/>
        </w:pBdr>
        <w:tabs>
          <w:tab w:val="center" w:pos="4513"/>
          <w:tab w:val="right" w:pos="9026"/>
        </w:tabs>
        <w:spacing w:after="0" w:line="240" w:lineRule="auto"/>
        <w:ind w:left="-567"/>
      </w:pPr>
    </w:p>
    <w:p w:rsidR="001F726F" w:rsidRPr="00894F49" w:rsidRDefault="001F726F" w:rsidP="001F726F">
      <w:pPr>
        <w:keepNext/>
        <w:spacing w:after="0" w:line="240" w:lineRule="auto"/>
        <w:ind w:left="-567"/>
        <w:jc w:val="center"/>
        <w:outlineLvl w:val="0"/>
        <w:rPr>
          <w:rFonts w:ascii="Arial" w:eastAsia="Times New Roman" w:hAnsi="Arial" w:cs="Arial"/>
          <w:b/>
          <w:bCs/>
          <w:kern w:val="32"/>
          <w:sz w:val="52"/>
          <w:szCs w:val="52"/>
        </w:rPr>
      </w:pPr>
    </w:p>
    <w:p w:rsidR="001F726F" w:rsidRPr="00894F49" w:rsidRDefault="001F726F" w:rsidP="001F726F">
      <w:pPr>
        <w:autoSpaceDE w:val="0"/>
        <w:autoSpaceDN w:val="0"/>
        <w:adjustRightInd w:val="0"/>
        <w:spacing w:after="0" w:line="240" w:lineRule="auto"/>
        <w:ind w:left="-567"/>
        <w:rPr>
          <w:rFonts w:ascii="Arial" w:hAnsi="Arial" w:cs="Arial"/>
          <w:color w:val="000000"/>
          <w:sz w:val="24"/>
          <w:szCs w:val="24"/>
        </w:rPr>
      </w:pPr>
    </w:p>
    <w:p w:rsidR="001F726F" w:rsidRPr="00C37BF7" w:rsidRDefault="001F726F" w:rsidP="001F726F">
      <w:pPr>
        <w:keepNext/>
        <w:spacing w:after="0" w:line="240" w:lineRule="auto"/>
        <w:ind w:left="-567" w:hanging="360"/>
        <w:jc w:val="center"/>
        <w:outlineLvl w:val="0"/>
        <w:rPr>
          <w:rFonts w:ascii="Arial" w:eastAsia="Times New Roman" w:hAnsi="Arial" w:cs="Arial"/>
          <w:bCs/>
          <w:kern w:val="32"/>
          <w:sz w:val="32"/>
          <w:szCs w:val="32"/>
        </w:rPr>
      </w:pPr>
      <w:r w:rsidRPr="00C37BF7">
        <w:rPr>
          <w:rFonts w:ascii="Arial" w:hAnsi="Arial" w:cs="Arial"/>
          <w:b/>
          <w:bCs/>
          <w:sz w:val="32"/>
          <w:szCs w:val="32"/>
        </w:rPr>
        <w:t xml:space="preserve">DATE: </w:t>
      </w:r>
      <w:r w:rsidR="00A877CB">
        <w:rPr>
          <w:rFonts w:ascii="Arial" w:hAnsi="Arial" w:cs="Arial"/>
          <w:b/>
          <w:bCs/>
          <w:sz w:val="32"/>
          <w:szCs w:val="32"/>
        </w:rPr>
        <w:t>15</w:t>
      </w:r>
      <w:r>
        <w:rPr>
          <w:rFonts w:ascii="Arial" w:hAnsi="Arial" w:cs="Arial"/>
          <w:b/>
          <w:bCs/>
          <w:sz w:val="32"/>
          <w:szCs w:val="32"/>
        </w:rPr>
        <w:t xml:space="preserve"> </w:t>
      </w:r>
      <w:r w:rsidRPr="00C37BF7">
        <w:rPr>
          <w:rFonts w:ascii="Arial" w:hAnsi="Arial" w:cs="Arial"/>
          <w:b/>
          <w:bCs/>
          <w:sz w:val="32"/>
          <w:szCs w:val="32"/>
        </w:rPr>
        <w:t>March 201</w:t>
      </w:r>
      <w:r>
        <w:rPr>
          <w:rFonts w:ascii="Arial" w:hAnsi="Arial" w:cs="Arial"/>
          <w:b/>
          <w:bCs/>
          <w:sz w:val="32"/>
          <w:szCs w:val="32"/>
        </w:rPr>
        <w:t>9</w:t>
      </w:r>
    </w:p>
    <w:p w:rsidR="001F726F" w:rsidRPr="00894F49" w:rsidRDefault="001F726F" w:rsidP="001F726F">
      <w:pPr>
        <w:keepNext/>
        <w:spacing w:after="0" w:line="240" w:lineRule="auto"/>
        <w:ind w:left="-567"/>
        <w:outlineLvl w:val="0"/>
        <w:rPr>
          <w:rFonts w:ascii="Arial" w:eastAsia="Times New Roman" w:hAnsi="Arial" w:cs="Arial"/>
          <w:bCs/>
          <w:kern w:val="32"/>
          <w:sz w:val="24"/>
          <w:szCs w:val="24"/>
        </w:rPr>
      </w:pPr>
    </w:p>
    <w:p w:rsidR="001F726F" w:rsidRPr="00894F49" w:rsidRDefault="001F726F" w:rsidP="001F726F">
      <w:pPr>
        <w:keepNext/>
        <w:spacing w:after="240" w:line="240" w:lineRule="auto"/>
        <w:ind w:left="-567"/>
        <w:outlineLvl w:val="0"/>
        <w:rPr>
          <w:rFonts w:ascii="Arial" w:eastAsia="Times New Roman" w:hAnsi="Arial" w:cs="Arial"/>
          <w:bCs/>
          <w:kern w:val="32"/>
          <w:sz w:val="24"/>
          <w:szCs w:val="24"/>
        </w:rPr>
      </w:pPr>
    </w:p>
    <w:p w:rsidR="001F726F" w:rsidRPr="00894F49" w:rsidRDefault="001F726F" w:rsidP="001F726F">
      <w:pPr>
        <w:keepNext/>
        <w:spacing w:after="240" w:line="240" w:lineRule="auto"/>
        <w:outlineLvl w:val="0"/>
        <w:rPr>
          <w:rFonts w:ascii="Arial" w:eastAsia="Times New Roman" w:hAnsi="Arial" w:cs="Arial"/>
          <w:bCs/>
          <w:kern w:val="32"/>
          <w:sz w:val="24"/>
          <w:szCs w:val="24"/>
        </w:rPr>
        <w:sectPr w:rsidR="001F726F" w:rsidRPr="00894F49" w:rsidSect="003E2EB4">
          <w:headerReference w:type="even" r:id="rId14"/>
          <w:headerReference w:type="default" r:id="rId15"/>
          <w:footerReference w:type="even" r:id="rId16"/>
          <w:footerReference w:type="default" r:id="rId17"/>
          <w:headerReference w:type="first" r:id="rId18"/>
          <w:footerReference w:type="first" r:id="rId19"/>
          <w:pgSz w:w="11907" w:h="16840" w:code="9"/>
          <w:pgMar w:top="567" w:right="851" w:bottom="567" w:left="1588" w:header="567" w:footer="0" w:gutter="0"/>
          <w:cols w:space="720"/>
          <w:docGrid w:linePitch="299"/>
        </w:sectPr>
      </w:pPr>
    </w:p>
    <w:p w:rsidR="001F726F" w:rsidRDefault="001F726F" w:rsidP="001F726F">
      <w:pPr>
        <w:spacing w:before="240" w:after="240" w:line="240" w:lineRule="auto"/>
        <w:jc w:val="center"/>
        <w:rPr>
          <w:rFonts w:ascii="Arial" w:eastAsia="Times New Roman" w:hAnsi="Arial" w:cs="Arial"/>
          <w:b/>
          <w:sz w:val="28"/>
          <w:szCs w:val="28"/>
        </w:rPr>
      </w:pPr>
    </w:p>
    <w:p w:rsidR="001F726F" w:rsidRDefault="001F726F" w:rsidP="001F726F">
      <w:pPr>
        <w:spacing w:before="240" w:after="240" w:line="240" w:lineRule="auto"/>
        <w:jc w:val="center"/>
        <w:rPr>
          <w:rFonts w:ascii="Arial" w:eastAsia="Times New Roman" w:hAnsi="Arial" w:cs="Arial"/>
          <w:b/>
          <w:sz w:val="28"/>
          <w:szCs w:val="28"/>
        </w:rPr>
      </w:pPr>
      <w:r w:rsidRPr="00D34463">
        <w:rPr>
          <w:rFonts w:ascii="Arial" w:eastAsia="Times New Roman" w:hAnsi="Arial" w:cs="Arial"/>
          <w:b/>
          <w:sz w:val="28"/>
          <w:szCs w:val="28"/>
        </w:rPr>
        <w:t>Western Australian Government</w:t>
      </w:r>
    </w:p>
    <w:p w:rsidR="001F726F" w:rsidRPr="00D34463" w:rsidRDefault="001F726F" w:rsidP="001F726F">
      <w:pPr>
        <w:spacing w:before="240" w:after="240" w:line="240" w:lineRule="auto"/>
        <w:jc w:val="center"/>
        <w:rPr>
          <w:rFonts w:ascii="Arial" w:eastAsia="Times New Roman" w:hAnsi="Arial" w:cs="Arial"/>
          <w:b/>
          <w:sz w:val="28"/>
          <w:szCs w:val="28"/>
        </w:rPr>
      </w:pPr>
      <w:r w:rsidRPr="00D34463">
        <w:rPr>
          <w:rFonts w:ascii="Arial" w:eastAsia="Times New Roman" w:hAnsi="Arial" w:cs="Arial"/>
          <w:b/>
          <w:sz w:val="28"/>
          <w:szCs w:val="28"/>
        </w:rPr>
        <w:t>Submission to Fair Work Commission Annual Wage Review 201</w:t>
      </w:r>
      <w:r>
        <w:rPr>
          <w:rFonts w:ascii="Arial" w:eastAsia="Times New Roman" w:hAnsi="Arial" w:cs="Arial"/>
          <w:b/>
          <w:sz w:val="28"/>
          <w:szCs w:val="28"/>
        </w:rPr>
        <w:t>8</w:t>
      </w:r>
      <w:r w:rsidRPr="00D34463">
        <w:rPr>
          <w:rFonts w:ascii="Arial" w:eastAsia="Times New Roman" w:hAnsi="Arial" w:cs="Arial"/>
          <w:b/>
          <w:sz w:val="28"/>
          <w:szCs w:val="28"/>
        </w:rPr>
        <w:t>-1</w:t>
      </w:r>
      <w:r>
        <w:rPr>
          <w:rFonts w:ascii="Arial" w:eastAsia="Times New Roman" w:hAnsi="Arial" w:cs="Arial"/>
          <w:b/>
          <w:sz w:val="28"/>
          <w:szCs w:val="28"/>
        </w:rPr>
        <w:t>9</w:t>
      </w:r>
    </w:p>
    <w:p w:rsidR="001F726F" w:rsidRDefault="001F726F" w:rsidP="001F726F">
      <w:pPr>
        <w:rPr>
          <w:rFonts w:ascii="Arial" w:hAnsi="Arial" w:cs="Arial"/>
          <w:sz w:val="24"/>
          <w:szCs w:val="24"/>
        </w:rPr>
      </w:pPr>
    </w:p>
    <w:p w:rsidR="001F726F" w:rsidRPr="00D34463" w:rsidRDefault="001F726F" w:rsidP="001F726F">
      <w:pPr>
        <w:rPr>
          <w:rFonts w:ascii="Arial" w:hAnsi="Arial" w:cs="Arial"/>
          <w:sz w:val="24"/>
          <w:szCs w:val="24"/>
        </w:rPr>
      </w:pPr>
    </w:p>
    <w:p w:rsidR="001F726F" w:rsidRPr="00D34463" w:rsidRDefault="001F726F" w:rsidP="001F726F">
      <w:pPr>
        <w:pStyle w:val="Heading1"/>
      </w:pPr>
      <w:r w:rsidRPr="00D34463">
        <w:t>Introduction</w:t>
      </w:r>
    </w:p>
    <w:p w:rsidR="001F726F" w:rsidRDefault="001F726F" w:rsidP="001F726F">
      <w:pPr>
        <w:pStyle w:val="ListParagraph"/>
        <w:numPr>
          <w:ilvl w:val="0"/>
          <w:numId w:val="25"/>
        </w:numPr>
        <w:tabs>
          <w:tab w:val="num" w:pos="600"/>
        </w:tabs>
        <w:spacing w:after="240" w:line="240" w:lineRule="auto"/>
        <w:ind w:left="567" w:hanging="567"/>
        <w:contextualSpacing w:val="0"/>
        <w:jc w:val="both"/>
        <w:rPr>
          <w:rFonts w:ascii="Arial" w:eastAsia="Times New Roman" w:hAnsi="Arial" w:cs="Arial"/>
          <w:sz w:val="24"/>
          <w:szCs w:val="24"/>
          <w:lang w:val="en-US"/>
        </w:rPr>
      </w:pPr>
      <w:r w:rsidRPr="0060351D">
        <w:rPr>
          <w:rFonts w:ascii="Arial" w:eastAsia="Times New Roman" w:hAnsi="Arial" w:cs="Arial"/>
          <w:sz w:val="24"/>
          <w:szCs w:val="24"/>
          <w:lang w:val="en-US"/>
        </w:rPr>
        <w:t xml:space="preserve">The Western Australian Government welcomes the opportunity to make this submission to the Expert Panel of the Fair Work Commission </w:t>
      </w:r>
      <w:r w:rsidRPr="0098064A">
        <w:rPr>
          <w:rFonts w:ascii="Arial" w:eastAsia="Times New Roman" w:hAnsi="Arial" w:cs="Arial"/>
          <w:sz w:val="24"/>
          <w:szCs w:val="24"/>
          <w:lang w:val="en-US"/>
        </w:rPr>
        <w:t>(</w:t>
      </w:r>
      <w:r w:rsidRPr="0060351D">
        <w:rPr>
          <w:rFonts w:ascii="Arial" w:eastAsia="Times New Roman" w:hAnsi="Arial" w:cs="Arial"/>
          <w:b/>
          <w:sz w:val="24"/>
          <w:szCs w:val="24"/>
          <w:lang w:val="en-US"/>
        </w:rPr>
        <w:t>the Panel</w:t>
      </w:r>
      <w:r w:rsidRPr="0098064A">
        <w:rPr>
          <w:rFonts w:ascii="Arial" w:eastAsia="Times New Roman" w:hAnsi="Arial" w:cs="Arial"/>
          <w:sz w:val="24"/>
          <w:szCs w:val="24"/>
          <w:lang w:val="en-US"/>
        </w:rPr>
        <w:t>)</w:t>
      </w:r>
      <w:r w:rsidRPr="0060351D">
        <w:rPr>
          <w:rFonts w:ascii="Arial" w:eastAsia="Times New Roman" w:hAnsi="Arial" w:cs="Arial"/>
          <w:b/>
          <w:sz w:val="24"/>
          <w:szCs w:val="24"/>
          <w:lang w:val="en-US"/>
        </w:rPr>
        <w:t xml:space="preserve"> </w:t>
      </w:r>
      <w:r>
        <w:rPr>
          <w:rFonts w:ascii="Arial" w:eastAsia="Times New Roman" w:hAnsi="Arial" w:cs="Arial"/>
          <w:sz w:val="24"/>
          <w:szCs w:val="24"/>
          <w:lang w:val="en-US"/>
        </w:rPr>
        <w:t>for the</w:t>
      </w:r>
      <w:r w:rsidR="00D06B52">
        <w:rPr>
          <w:rFonts w:ascii="Arial" w:eastAsia="Times New Roman" w:hAnsi="Arial" w:cs="Arial"/>
          <w:sz w:val="24"/>
          <w:szCs w:val="24"/>
          <w:lang w:val="en-US"/>
        </w:rPr>
        <w:t xml:space="preserve"> </w:t>
      </w:r>
      <w:r w:rsidR="00B41DD7">
        <w:rPr>
          <w:rFonts w:ascii="Arial" w:eastAsia="Times New Roman" w:hAnsi="Arial" w:cs="Arial"/>
          <w:sz w:val="24"/>
          <w:szCs w:val="24"/>
          <w:lang w:val="en-US"/>
        </w:rPr>
        <w:t xml:space="preserve"> </w:t>
      </w:r>
      <w:r>
        <w:rPr>
          <w:rFonts w:ascii="Arial" w:eastAsia="Times New Roman" w:hAnsi="Arial" w:cs="Arial"/>
          <w:sz w:val="24"/>
          <w:szCs w:val="24"/>
          <w:lang w:val="en-US"/>
        </w:rPr>
        <w:t>2018</w:t>
      </w:r>
      <w:r w:rsidRPr="0060351D">
        <w:rPr>
          <w:rFonts w:ascii="Arial" w:eastAsia="Times New Roman" w:hAnsi="Arial" w:cs="Arial"/>
          <w:sz w:val="24"/>
          <w:szCs w:val="24"/>
          <w:lang w:val="en-US"/>
        </w:rPr>
        <w:t>-1</w:t>
      </w:r>
      <w:r>
        <w:rPr>
          <w:rFonts w:ascii="Arial" w:eastAsia="Times New Roman" w:hAnsi="Arial" w:cs="Arial"/>
          <w:sz w:val="24"/>
          <w:szCs w:val="24"/>
          <w:lang w:val="en-US"/>
        </w:rPr>
        <w:t>9</w:t>
      </w:r>
      <w:r w:rsidRPr="0060351D">
        <w:rPr>
          <w:rFonts w:ascii="Arial" w:eastAsia="Times New Roman" w:hAnsi="Arial" w:cs="Arial"/>
          <w:sz w:val="24"/>
          <w:szCs w:val="24"/>
          <w:lang w:val="en-US"/>
        </w:rPr>
        <w:t xml:space="preserve"> Annual Wage Review (</w:t>
      </w:r>
      <w:r w:rsidRPr="0060351D">
        <w:rPr>
          <w:rFonts w:ascii="Arial" w:eastAsia="Times New Roman" w:hAnsi="Arial" w:cs="Arial"/>
          <w:b/>
          <w:sz w:val="24"/>
          <w:szCs w:val="24"/>
          <w:lang w:val="en-US"/>
        </w:rPr>
        <w:t>AWR</w:t>
      </w:r>
      <w:r w:rsidRPr="0060351D">
        <w:rPr>
          <w:rFonts w:ascii="Arial" w:eastAsia="Times New Roman" w:hAnsi="Arial" w:cs="Arial"/>
          <w:sz w:val="24"/>
          <w:szCs w:val="24"/>
          <w:lang w:val="en-US"/>
        </w:rPr>
        <w:t xml:space="preserve">). </w:t>
      </w:r>
    </w:p>
    <w:p w:rsidR="00D06B52" w:rsidRPr="00C37BF7" w:rsidRDefault="00D06B52" w:rsidP="001F726F">
      <w:pPr>
        <w:pStyle w:val="ListParagraph"/>
        <w:numPr>
          <w:ilvl w:val="0"/>
          <w:numId w:val="25"/>
        </w:numPr>
        <w:tabs>
          <w:tab w:val="num" w:pos="600"/>
        </w:tabs>
        <w:spacing w:after="240" w:line="240" w:lineRule="auto"/>
        <w:ind w:left="567"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 xml:space="preserve">The AWR </w:t>
      </w:r>
      <w:r w:rsidR="002E7F7B">
        <w:rPr>
          <w:rFonts w:ascii="Arial" w:eastAsia="Times New Roman" w:hAnsi="Arial" w:cs="Arial"/>
          <w:sz w:val="24"/>
          <w:szCs w:val="24"/>
          <w:lang w:val="en-US"/>
        </w:rPr>
        <w:t xml:space="preserve">plays a vital role in </w:t>
      </w:r>
      <w:r w:rsidR="00A877CB">
        <w:rPr>
          <w:rFonts w:ascii="Arial" w:eastAsia="Times New Roman" w:hAnsi="Arial" w:cs="Arial"/>
          <w:sz w:val="24"/>
          <w:szCs w:val="24"/>
          <w:lang w:val="en-US"/>
        </w:rPr>
        <w:t xml:space="preserve">maintaining a </w:t>
      </w:r>
      <w:r w:rsidR="007A31D6">
        <w:rPr>
          <w:rFonts w:ascii="Arial" w:eastAsia="Times New Roman" w:hAnsi="Arial" w:cs="Arial"/>
          <w:sz w:val="24"/>
          <w:szCs w:val="24"/>
          <w:lang w:val="en-US"/>
        </w:rPr>
        <w:t>fair and</w:t>
      </w:r>
      <w:r w:rsidR="00A877CB">
        <w:rPr>
          <w:rFonts w:ascii="Arial" w:eastAsia="Times New Roman" w:hAnsi="Arial" w:cs="Arial"/>
          <w:sz w:val="24"/>
          <w:szCs w:val="24"/>
          <w:lang w:val="en-US"/>
        </w:rPr>
        <w:t xml:space="preserve"> </w:t>
      </w:r>
      <w:r w:rsidR="00A877CB" w:rsidRPr="0077099F">
        <w:rPr>
          <w:rFonts w:ascii="Arial" w:eastAsia="Times New Roman" w:hAnsi="Arial" w:cs="Arial"/>
          <w:sz w:val="24"/>
          <w:szCs w:val="24"/>
          <w:lang w:val="en-US"/>
        </w:rPr>
        <w:t xml:space="preserve">principled </w:t>
      </w:r>
      <w:r w:rsidR="00B139B9">
        <w:rPr>
          <w:rFonts w:ascii="Arial" w:eastAsia="Times New Roman" w:hAnsi="Arial" w:cs="Arial"/>
          <w:sz w:val="24"/>
          <w:szCs w:val="24"/>
          <w:lang w:val="en-US"/>
        </w:rPr>
        <w:t xml:space="preserve">framework of minimum </w:t>
      </w:r>
      <w:r w:rsidR="0077099F" w:rsidRPr="0077099F">
        <w:rPr>
          <w:rFonts w:ascii="Arial" w:eastAsia="Times New Roman" w:hAnsi="Arial" w:cs="Arial"/>
          <w:sz w:val="24"/>
          <w:szCs w:val="24"/>
          <w:lang w:val="en-US"/>
        </w:rPr>
        <w:t>employment</w:t>
      </w:r>
      <w:r w:rsidR="0077099F">
        <w:rPr>
          <w:rFonts w:ascii="Arial" w:eastAsia="Times New Roman" w:hAnsi="Arial" w:cs="Arial"/>
          <w:sz w:val="24"/>
          <w:szCs w:val="24"/>
          <w:lang w:val="en-US"/>
        </w:rPr>
        <w:t xml:space="preserve"> </w:t>
      </w:r>
      <w:r w:rsidR="00B139B9">
        <w:rPr>
          <w:rFonts w:ascii="Arial" w:eastAsia="Times New Roman" w:hAnsi="Arial" w:cs="Arial"/>
          <w:sz w:val="24"/>
          <w:szCs w:val="24"/>
          <w:lang w:val="en-US"/>
        </w:rPr>
        <w:t>protections</w:t>
      </w:r>
      <w:r w:rsidR="0077099F">
        <w:rPr>
          <w:rFonts w:ascii="Arial" w:eastAsia="Times New Roman" w:hAnsi="Arial" w:cs="Arial"/>
          <w:sz w:val="24"/>
          <w:szCs w:val="24"/>
          <w:lang w:val="en-US"/>
        </w:rPr>
        <w:t xml:space="preserve"> for Australian workers. </w:t>
      </w:r>
      <w:r>
        <w:rPr>
          <w:rFonts w:ascii="Arial" w:eastAsia="Times New Roman" w:hAnsi="Arial" w:cs="Arial"/>
          <w:sz w:val="24"/>
          <w:szCs w:val="24"/>
          <w:lang w:val="en-US"/>
        </w:rPr>
        <w:t xml:space="preserve"> </w:t>
      </w:r>
    </w:p>
    <w:p w:rsidR="001F726F" w:rsidRPr="00D06B52" w:rsidRDefault="001F726F" w:rsidP="001F726F">
      <w:pPr>
        <w:pStyle w:val="ListParagraph"/>
        <w:numPr>
          <w:ilvl w:val="0"/>
          <w:numId w:val="25"/>
        </w:numPr>
        <w:tabs>
          <w:tab w:val="num" w:pos="600"/>
        </w:tabs>
        <w:spacing w:after="240" w:line="240" w:lineRule="auto"/>
        <w:ind w:left="567" w:hanging="567"/>
        <w:contextualSpacing w:val="0"/>
        <w:jc w:val="both"/>
        <w:rPr>
          <w:rFonts w:ascii="Arial" w:hAnsi="Arial" w:cs="Arial"/>
          <w:color w:val="000000" w:themeColor="text1"/>
          <w:sz w:val="24"/>
          <w:szCs w:val="24"/>
        </w:rPr>
      </w:pPr>
      <w:r w:rsidRPr="00D06B52">
        <w:rPr>
          <w:rFonts w:ascii="Arial" w:hAnsi="Arial" w:cs="Arial"/>
          <w:color w:val="000000" w:themeColor="text1"/>
          <w:sz w:val="24"/>
          <w:szCs w:val="24"/>
        </w:rPr>
        <w:t xml:space="preserve">In </w:t>
      </w:r>
      <w:r w:rsidR="00D06B52" w:rsidRPr="00D06B52">
        <w:rPr>
          <w:rFonts w:ascii="Arial" w:hAnsi="Arial" w:cs="Arial"/>
          <w:color w:val="000000" w:themeColor="text1"/>
          <w:sz w:val="24"/>
          <w:szCs w:val="24"/>
        </w:rPr>
        <w:t>fulfilling its statutory obligations</w:t>
      </w:r>
      <w:r w:rsidR="000F1E93">
        <w:rPr>
          <w:rFonts w:ascii="Arial" w:hAnsi="Arial" w:cs="Arial"/>
          <w:color w:val="000000" w:themeColor="text1"/>
          <w:sz w:val="24"/>
          <w:szCs w:val="24"/>
        </w:rPr>
        <w:t xml:space="preserve"> under</w:t>
      </w:r>
      <w:r w:rsidRPr="00D06B52">
        <w:rPr>
          <w:rFonts w:ascii="Arial" w:hAnsi="Arial" w:cs="Arial"/>
          <w:color w:val="000000" w:themeColor="text1"/>
          <w:sz w:val="24"/>
          <w:szCs w:val="24"/>
        </w:rPr>
        <w:t xml:space="preserve"> </w:t>
      </w:r>
      <w:r w:rsidR="00D06B52" w:rsidRPr="00D06B52">
        <w:rPr>
          <w:rFonts w:ascii="Arial" w:hAnsi="Arial" w:cs="Arial"/>
          <w:color w:val="000000" w:themeColor="text1"/>
          <w:sz w:val="24"/>
          <w:szCs w:val="24"/>
        </w:rPr>
        <w:t xml:space="preserve">section 284 of the </w:t>
      </w:r>
      <w:r w:rsidR="00D06B52" w:rsidRPr="00D06B52">
        <w:rPr>
          <w:rFonts w:ascii="Arial" w:hAnsi="Arial" w:cs="Arial"/>
          <w:i/>
          <w:color w:val="000000" w:themeColor="text1"/>
          <w:sz w:val="24"/>
          <w:szCs w:val="24"/>
        </w:rPr>
        <w:t>Fair Work Act 2009</w:t>
      </w:r>
      <w:r w:rsidR="00D06B52" w:rsidRPr="00D06B52">
        <w:rPr>
          <w:rFonts w:ascii="Arial" w:hAnsi="Arial" w:cs="Arial"/>
          <w:color w:val="000000" w:themeColor="text1"/>
          <w:sz w:val="24"/>
          <w:szCs w:val="24"/>
        </w:rPr>
        <w:t xml:space="preserve"> (</w:t>
      </w:r>
      <w:r w:rsidR="00D06B52" w:rsidRPr="00DC263C">
        <w:rPr>
          <w:rFonts w:ascii="Arial" w:hAnsi="Arial" w:cs="Arial"/>
          <w:b/>
          <w:color w:val="000000" w:themeColor="text1"/>
          <w:sz w:val="24"/>
          <w:szCs w:val="24"/>
        </w:rPr>
        <w:t>the Act</w:t>
      </w:r>
      <w:r w:rsidR="00D06B52" w:rsidRPr="00D06B52">
        <w:rPr>
          <w:rFonts w:ascii="Arial" w:hAnsi="Arial" w:cs="Arial"/>
          <w:color w:val="000000" w:themeColor="text1"/>
          <w:sz w:val="24"/>
          <w:szCs w:val="24"/>
        </w:rPr>
        <w:t>)</w:t>
      </w:r>
      <w:r w:rsidR="00F45B74">
        <w:rPr>
          <w:rFonts w:ascii="Arial" w:hAnsi="Arial" w:cs="Arial"/>
          <w:color w:val="000000" w:themeColor="text1"/>
          <w:sz w:val="24"/>
          <w:szCs w:val="24"/>
        </w:rPr>
        <w:t>,</w:t>
      </w:r>
      <w:r w:rsidR="00D06B52" w:rsidRPr="00D06B52">
        <w:rPr>
          <w:rFonts w:ascii="Arial" w:hAnsi="Arial" w:cs="Arial"/>
          <w:color w:val="000000" w:themeColor="text1"/>
          <w:sz w:val="24"/>
          <w:szCs w:val="24"/>
        </w:rPr>
        <w:t xml:space="preserve"> </w:t>
      </w:r>
      <w:r w:rsidRPr="00D06B52">
        <w:rPr>
          <w:rFonts w:ascii="Arial" w:hAnsi="Arial" w:cs="Arial"/>
          <w:color w:val="000000" w:themeColor="text1"/>
          <w:sz w:val="24"/>
          <w:szCs w:val="24"/>
        </w:rPr>
        <w:t xml:space="preserve">the Panel </w:t>
      </w:r>
      <w:r w:rsidR="000F1E93">
        <w:rPr>
          <w:rFonts w:ascii="Arial" w:hAnsi="Arial" w:cs="Arial"/>
          <w:color w:val="000000" w:themeColor="text1"/>
          <w:sz w:val="24"/>
          <w:szCs w:val="24"/>
        </w:rPr>
        <w:t xml:space="preserve">is required </w:t>
      </w:r>
      <w:r w:rsidRPr="00D06B52">
        <w:rPr>
          <w:rFonts w:ascii="Arial" w:hAnsi="Arial" w:cs="Arial"/>
          <w:color w:val="000000" w:themeColor="text1"/>
          <w:sz w:val="24"/>
          <w:szCs w:val="24"/>
        </w:rPr>
        <w:t xml:space="preserve">to ‘establish and maintain a safety net of fair minimum wages’ </w:t>
      </w:r>
      <w:r w:rsidR="00D06B52" w:rsidRPr="00D06B52">
        <w:rPr>
          <w:rFonts w:ascii="Arial" w:hAnsi="Arial" w:cs="Arial"/>
          <w:color w:val="000000" w:themeColor="text1"/>
          <w:sz w:val="24"/>
          <w:szCs w:val="24"/>
        </w:rPr>
        <w:t xml:space="preserve">(the ‘minimum wages objective’) </w:t>
      </w:r>
      <w:r w:rsidRPr="00D06B52">
        <w:rPr>
          <w:rFonts w:ascii="Arial" w:hAnsi="Arial" w:cs="Arial"/>
          <w:color w:val="000000" w:themeColor="text1"/>
          <w:sz w:val="24"/>
          <w:szCs w:val="24"/>
        </w:rPr>
        <w:t xml:space="preserve">taking into account the </w:t>
      </w:r>
      <w:r w:rsidR="000F1E93">
        <w:rPr>
          <w:rFonts w:ascii="Arial" w:hAnsi="Arial" w:cs="Arial"/>
          <w:color w:val="000000" w:themeColor="text1"/>
          <w:sz w:val="24"/>
          <w:szCs w:val="24"/>
        </w:rPr>
        <w:t>following</w:t>
      </w:r>
      <w:r w:rsidR="00B41DD7">
        <w:rPr>
          <w:rFonts w:ascii="Arial" w:hAnsi="Arial" w:cs="Arial"/>
          <w:color w:val="000000" w:themeColor="text1"/>
          <w:sz w:val="24"/>
          <w:szCs w:val="24"/>
        </w:rPr>
        <w:t xml:space="preserve"> </w:t>
      </w:r>
      <w:r w:rsidRPr="00D06B52">
        <w:rPr>
          <w:rFonts w:ascii="Arial" w:hAnsi="Arial" w:cs="Arial"/>
          <w:color w:val="000000" w:themeColor="text1"/>
          <w:sz w:val="24"/>
          <w:szCs w:val="24"/>
        </w:rPr>
        <w:t xml:space="preserve">criteria:  </w:t>
      </w:r>
    </w:p>
    <w:p w:rsidR="001F726F" w:rsidRPr="00D06B52" w:rsidRDefault="001F726F" w:rsidP="001F726F">
      <w:pPr>
        <w:pStyle w:val="ListParagraph"/>
        <w:numPr>
          <w:ilvl w:val="1"/>
          <w:numId w:val="25"/>
        </w:numPr>
        <w:shd w:val="clear" w:color="auto" w:fill="FFFFFF"/>
        <w:spacing w:before="120" w:after="240" w:line="240" w:lineRule="auto"/>
        <w:ind w:left="1134" w:hanging="567"/>
        <w:contextualSpacing w:val="0"/>
        <w:jc w:val="both"/>
        <w:rPr>
          <w:rFonts w:ascii="Arial" w:eastAsia="Times New Roman" w:hAnsi="Arial" w:cs="Arial"/>
          <w:color w:val="000000"/>
          <w:sz w:val="24"/>
          <w:szCs w:val="24"/>
          <w:lang w:eastAsia="en-AU"/>
        </w:rPr>
      </w:pPr>
      <w:r w:rsidRPr="00D06B52">
        <w:rPr>
          <w:rFonts w:ascii="Arial" w:eastAsia="Times New Roman" w:hAnsi="Arial" w:cs="Arial"/>
          <w:color w:val="000000"/>
          <w:sz w:val="24"/>
          <w:szCs w:val="24"/>
          <w:lang w:eastAsia="en-AU"/>
        </w:rPr>
        <w:t>the performance and competitiveness of the national economy, including productivity, business competitiveness and viability, inflation and employment growth; and</w:t>
      </w:r>
    </w:p>
    <w:p w:rsidR="001F726F" w:rsidRPr="00D06B52" w:rsidRDefault="001F726F" w:rsidP="001F726F">
      <w:pPr>
        <w:pStyle w:val="ListParagraph"/>
        <w:numPr>
          <w:ilvl w:val="1"/>
          <w:numId w:val="25"/>
        </w:numPr>
        <w:shd w:val="clear" w:color="auto" w:fill="FFFFFF"/>
        <w:spacing w:before="120" w:after="240" w:line="240" w:lineRule="auto"/>
        <w:ind w:left="1134" w:hanging="567"/>
        <w:contextualSpacing w:val="0"/>
        <w:jc w:val="both"/>
        <w:rPr>
          <w:rFonts w:ascii="Arial" w:eastAsia="Times New Roman" w:hAnsi="Arial" w:cs="Arial"/>
          <w:color w:val="000000"/>
          <w:sz w:val="24"/>
          <w:szCs w:val="24"/>
          <w:lang w:eastAsia="en-AU"/>
        </w:rPr>
      </w:pPr>
      <w:r w:rsidRPr="00D06B52">
        <w:rPr>
          <w:rFonts w:ascii="Arial" w:eastAsia="Times New Roman" w:hAnsi="Arial" w:cs="Arial"/>
          <w:color w:val="000000"/>
          <w:sz w:val="24"/>
          <w:szCs w:val="24"/>
          <w:lang w:eastAsia="en-AU"/>
        </w:rPr>
        <w:t>promoting social inclusion through increased workforce participation; and</w:t>
      </w:r>
    </w:p>
    <w:p w:rsidR="001F726F" w:rsidRPr="00D06B52" w:rsidRDefault="001F726F" w:rsidP="001F726F">
      <w:pPr>
        <w:pStyle w:val="ListParagraph"/>
        <w:numPr>
          <w:ilvl w:val="1"/>
          <w:numId w:val="25"/>
        </w:numPr>
        <w:shd w:val="clear" w:color="auto" w:fill="FFFFFF"/>
        <w:spacing w:before="120" w:after="240" w:line="240" w:lineRule="auto"/>
        <w:ind w:left="1134" w:hanging="567"/>
        <w:contextualSpacing w:val="0"/>
        <w:jc w:val="both"/>
        <w:rPr>
          <w:rFonts w:ascii="Arial" w:eastAsia="Times New Roman" w:hAnsi="Arial" w:cs="Arial"/>
          <w:color w:val="000000"/>
          <w:sz w:val="24"/>
          <w:szCs w:val="24"/>
          <w:lang w:eastAsia="en-AU"/>
        </w:rPr>
      </w:pPr>
      <w:r w:rsidRPr="00D06B52">
        <w:rPr>
          <w:rFonts w:ascii="Arial" w:eastAsia="Times New Roman" w:hAnsi="Arial" w:cs="Arial"/>
          <w:color w:val="000000"/>
          <w:sz w:val="24"/>
          <w:szCs w:val="24"/>
          <w:lang w:eastAsia="en-AU"/>
        </w:rPr>
        <w:t>relative living standards and the needs of the low paid; and</w:t>
      </w:r>
    </w:p>
    <w:p w:rsidR="001F726F" w:rsidRPr="00D06B52" w:rsidRDefault="001F726F" w:rsidP="001F726F">
      <w:pPr>
        <w:pStyle w:val="ListParagraph"/>
        <w:numPr>
          <w:ilvl w:val="1"/>
          <w:numId w:val="25"/>
        </w:numPr>
        <w:shd w:val="clear" w:color="auto" w:fill="FFFFFF"/>
        <w:spacing w:before="120" w:after="240" w:line="240" w:lineRule="auto"/>
        <w:ind w:left="1134" w:hanging="567"/>
        <w:contextualSpacing w:val="0"/>
        <w:jc w:val="both"/>
        <w:rPr>
          <w:rFonts w:ascii="Arial" w:eastAsia="Times New Roman" w:hAnsi="Arial" w:cs="Arial"/>
          <w:color w:val="000000"/>
          <w:sz w:val="24"/>
          <w:szCs w:val="24"/>
          <w:lang w:eastAsia="en-AU"/>
        </w:rPr>
      </w:pPr>
      <w:r w:rsidRPr="00D06B52">
        <w:rPr>
          <w:rFonts w:ascii="Arial" w:eastAsia="Times New Roman" w:hAnsi="Arial" w:cs="Arial"/>
          <w:color w:val="000000"/>
          <w:sz w:val="24"/>
          <w:szCs w:val="24"/>
          <w:lang w:eastAsia="en-AU"/>
        </w:rPr>
        <w:t>the principle of equal remuneration for work of equal or comparable value; and</w:t>
      </w:r>
    </w:p>
    <w:p w:rsidR="001F726F" w:rsidRPr="00D06B52" w:rsidRDefault="001F726F" w:rsidP="001F726F">
      <w:pPr>
        <w:pStyle w:val="ListParagraph"/>
        <w:numPr>
          <w:ilvl w:val="1"/>
          <w:numId w:val="25"/>
        </w:numPr>
        <w:shd w:val="clear" w:color="auto" w:fill="FFFFFF"/>
        <w:spacing w:before="120" w:after="240" w:line="240" w:lineRule="auto"/>
        <w:ind w:left="1134" w:hanging="567"/>
        <w:contextualSpacing w:val="0"/>
        <w:jc w:val="both"/>
        <w:rPr>
          <w:rFonts w:ascii="Arial" w:eastAsia="Times New Roman" w:hAnsi="Arial" w:cs="Arial"/>
          <w:color w:val="000000"/>
          <w:sz w:val="24"/>
          <w:szCs w:val="24"/>
          <w:lang w:eastAsia="en-AU"/>
        </w:rPr>
      </w:pPr>
      <w:r w:rsidRPr="00D06B52">
        <w:rPr>
          <w:rFonts w:ascii="Arial" w:eastAsia="Times New Roman" w:hAnsi="Arial" w:cs="Arial"/>
          <w:color w:val="000000"/>
          <w:sz w:val="24"/>
          <w:szCs w:val="24"/>
          <w:lang w:eastAsia="en-AU"/>
        </w:rPr>
        <w:t>providing a comprehensive range of fair minimum wages to junior employees, employees to whom training arrangements apply and employees with a disability.</w:t>
      </w:r>
    </w:p>
    <w:p w:rsidR="001F726F" w:rsidRPr="00D06B52" w:rsidRDefault="001F726F" w:rsidP="001F726F">
      <w:pPr>
        <w:pStyle w:val="ListParagraph"/>
        <w:numPr>
          <w:ilvl w:val="0"/>
          <w:numId w:val="25"/>
        </w:numPr>
        <w:shd w:val="clear" w:color="auto" w:fill="FFFFFF"/>
        <w:spacing w:after="240" w:line="240" w:lineRule="auto"/>
        <w:ind w:left="567" w:hanging="567"/>
        <w:contextualSpacing w:val="0"/>
        <w:jc w:val="both"/>
        <w:rPr>
          <w:rFonts w:ascii="Arial" w:eastAsia="Times New Roman" w:hAnsi="Arial" w:cs="Arial"/>
          <w:color w:val="000000"/>
          <w:sz w:val="24"/>
          <w:szCs w:val="24"/>
          <w:lang w:eastAsia="en-AU"/>
        </w:rPr>
      </w:pPr>
      <w:r w:rsidRPr="00D06B52">
        <w:rPr>
          <w:rFonts w:ascii="Arial" w:hAnsi="Arial" w:cs="Arial"/>
          <w:color w:val="000000" w:themeColor="text1"/>
          <w:sz w:val="24"/>
          <w:szCs w:val="24"/>
        </w:rPr>
        <w:t>In adjusting rates of pay in awards, the Panel must also have regard to the ‘modern awards objective’, which requires that it ensure that modern awards, together with the National Employment Standards, provide a fair and relevant minimum safety net of terms and conditions</w:t>
      </w:r>
      <w:r w:rsidR="00D06B52">
        <w:rPr>
          <w:rFonts w:ascii="Arial" w:hAnsi="Arial" w:cs="Arial"/>
          <w:color w:val="000000" w:themeColor="text1"/>
          <w:sz w:val="24"/>
          <w:szCs w:val="24"/>
        </w:rPr>
        <w:t>.</w:t>
      </w:r>
      <w:r w:rsidR="00175A79">
        <w:rPr>
          <w:rStyle w:val="FootnoteReference"/>
          <w:rFonts w:ascii="Arial" w:hAnsi="Arial" w:cs="Arial"/>
          <w:color w:val="000000" w:themeColor="text1"/>
          <w:sz w:val="24"/>
          <w:szCs w:val="24"/>
        </w:rPr>
        <w:footnoteReference w:id="1"/>
      </w:r>
      <w:r w:rsidR="00D06B52">
        <w:rPr>
          <w:rFonts w:ascii="Arial" w:hAnsi="Arial" w:cs="Arial"/>
          <w:color w:val="000000" w:themeColor="text1"/>
          <w:sz w:val="24"/>
          <w:szCs w:val="24"/>
        </w:rPr>
        <w:t xml:space="preserve"> </w:t>
      </w:r>
      <w:r w:rsidRPr="00D06B52">
        <w:rPr>
          <w:rFonts w:ascii="Arial" w:hAnsi="Arial" w:cs="Arial"/>
          <w:color w:val="000000" w:themeColor="text1"/>
          <w:sz w:val="24"/>
          <w:szCs w:val="24"/>
        </w:rPr>
        <w:t xml:space="preserve"> </w:t>
      </w:r>
    </w:p>
    <w:p w:rsidR="001F726F" w:rsidRDefault="001F726F" w:rsidP="001F726F">
      <w:pPr>
        <w:pStyle w:val="ListParagraph"/>
        <w:numPr>
          <w:ilvl w:val="0"/>
          <w:numId w:val="25"/>
        </w:numPr>
        <w:tabs>
          <w:tab w:val="num" w:pos="600"/>
        </w:tabs>
        <w:spacing w:after="240" w:line="240" w:lineRule="auto"/>
        <w:ind w:left="567" w:hanging="567"/>
        <w:contextualSpacing w:val="0"/>
        <w:jc w:val="both"/>
        <w:rPr>
          <w:rFonts w:ascii="Arial" w:eastAsia="Times New Roman" w:hAnsi="Arial" w:cs="Arial"/>
          <w:sz w:val="24"/>
          <w:szCs w:val="24"/>
          <w:lang w:val="en-US"/>
        </w:rPr>
      </w:pPr>
      <w:r w:rsidRPr="0060351D">
        <w:rPr>
          <w:rFonts w:ascii="Arial" w:eastAsia="Times New Roman" w:hAnsi="Arial" w:cs="Arial"/>
          <w:sz w:val="24"/>
          <w:szCs w:val="24"/>
          <w:lang w:val="en-US"/>
        </w:rPr>
        <w:t xml:space="preserve">This submission includes information pertaining to Western Australia’s economy and labour market to assist the Panel in its deliberations, as well as broader observations on </w:t>
      </w:r>
      <w:r w:rsidR="00175A79">
        <w:rPr>
          <w:rFonts w:ascii="Arial" w:eastAsia="Times New Roman" w:hAnsi="Arial" w:cs="Arial"/>
          <w:sz w:val="24"/>
          <w:szCs w:val="24"/>
          <w:lang w:val="en-US"/>
        </w:rPr>
        <w:t xml:space="preserve">some of the </w:t>
      </w:r>
      <w:r w:rsidRPr="0060351D">
        <w:rPr>
          <w:rFonts w:ascii="Arial" w:eastAsia="Times New Roman" w:hAnsi="Arial" w:cs="Arial"/>
          <w:sz w:val="24"/>
          <w:szCs w:val="24"/>
          <w:lang w:val="en-US"/>
        </w:rPr>
        <w:t xml:space="preserve">criteria relevant to the National </w:t>
      </w:r>
      <w:r w:rsidR="00B139B9">
        <w:rPr>
          <w:rFonts w:ascii="Arial" w:eastAsia="Times New Roman" w:hAnsi="Arial" w:cs="Arial"/>
          <w:sz w:val="24"/>
          <w:szCs w:val="24"/>
          <w:lang w:val="en-US"/>
        </w:rPr>
        <w:t xml:space="preserve">Minimum </w:t>
      </w:r>
      <w:r w:rsidRPr="0060351D">
        <w:rPr>
          <w:rFonts w:ascii="Arial" w:eastAsia="Times New Roman" w:hAnsi="Arial" w:cs="Arial"/>
          <w:sz w:val="24"/>
          <w:szCs w:val="24"/>
          <w:lang w:val="en-US"/>
        </w:rPr>
        <w:t xml:space="preserve">Wage Order. </w:t>
      </w:r>
    </w:p>
    <w:p w:rsidR="001F726F" w:rsidRPr="0060351D" w:rsidRDefault="001F726F" w:rsidP="001F726F">
      <w:pPr>
        <w:pStyle w:val="Heading1"/>
      </w:pPr>
      <w:r w:rsidRPr="0060351D">
        <w:lastRenderedPageBreak/>
        <w:t>Overview</w:t>
      </w:r>
    </w:p>
    <w:p w:rsidR="001F726F" w:rsidRDefault="001F726F" w:rsidP="001F726F">
      <w:pPr>
        <w:pStyle w:val="ListParagraph"/>
        <w:numPr>
          <w:ilvl w:val="0"/>
          <w:numId w:val="25"/>
        </w:numPr>
        <w:tabs>
          <w:tab w:val="num" w:pos="600"/>
        </w:tabs>
        <w:spacing w:after="240" w:line="240" w:lineRule="auto"/>
        <w:ind w:left="567" w:hanging="567"/>
        <w:contextualSpacing w:val="0"/>
        <w:jc w:val="both"/>
        <w:rPr>
          <w:rFonts w:ascii="Arial" w:hAnsi="Arial" w:cs="Arial"/>
          <w:color w:val="000000" w:themeColor="text1"/>
          <w:sz w:val="24"/>
          <w:szCs w:val="24"/>
        </w:rPr>
      </w:pPr>
      <w:r w:rsidRPr="0060351D">
        <w:rPr>
          <w:rFonts w:ascii="Arial" w:hAnsi="Arial" w:cs="Arial"/>
          <w:color w:val="000000" w:themeColor="text1"/>
          <w:sz w:val="24"/>
          <w:szCs w:val="24"/>
        </w:rPr>
        <w:t xml:space="preserve">The Western Australian Government supports a </w:t>
      </w:r>
      <w:r w:rsidRPr="003439CA">
        <w:rPr>
          <w:rFonts w:ascii="Arial" w:hAnsi="Arial" w:cs="Arial"/>
          <w:color w:val="000000" w:themeColor="text1"/>
          <w:sz w:val="24"/>
          <w:szCs w:val="24"/>
        </w:rPr>
        <w:t>fair</w:t>
      </w:r>
      <w:r w:rsidR="003439CA">
        <w:rPr>
          <w:rFonts w:ascii="Arial" w:hAnsi="Arial" w:cs="Arial"/>
          <w:color w:val="000000" w:themeColor="text1"/>
          <w:sz w:val="24"/>
          <w:szCs w:val="24"/>
        </w:rPr>
        <w:t xml:space="preserve"> and equitable</w:t>
      </w:r>
      <w:r w:rsidRPr="0060351D">
        <w:rPr>
          <w:rFonts w:ascii="Arial" w:hAnsi="Arial" w:cs="Arial"/>
          <w:color w:val="000000" w:themeColor="text1"/>
          <w:sz w:val="24"/>
          <w:szCs w:val="24"/>
        </w:rPr>
        <w:t xml:space="preserve"> increase for the National Minimum Wage </w:t>
      </w:r>
      <w:r w:rsidRPr="0098064A">
        <w:rPr>
          <w:rFonts w:ascii="Arial" w:hAnsi="Arial" w:cs="Arial"/>
          <w:color w:val="000000" w:themeColor="text1"/>
          <w:sz w:val="24"/>
          <w:szCs w:val="24"/>
        </w:rPr>
        <w:t>(</w:t>
      </w:r>
      <w:r w:rsidRPr="0060351D">
        <w:rPr>
          <w:rFonts w:ascii="Arial" w:hAnsi="Arial" w:cs="Arial"/>
          <w:b/>
          <w:color w:val="000000" w:themeColor="text1"/>
          <w:sz w:val="24"/>
          <w:szCs w:val="24"/>
        </w:rPr>
        <w:t>NMW</w:t>
      </w:r>
      <w:r w:rsidRPr="0098064A">
        <w:rPr>
          <w:rFonts w:ascii="Arial" w:hAnsi="Arial" w:cs="Arial"/>
          <w:color w:val="000000" w:themeColor="text1"/>
          <w:sz w:val="24"/>
          <w:szCs w:val="24"/>
        </w:rPr>
        <w:t xml:space="preserve">) </w:t>
      </w:r>
      <w:r w:rsidRPr="0060351D">
        <w:rPr>
          <w:rFonts w:ascii="Arial" w:hAnsi="Arial" w:cs="Arial"/>
          <w:color w:val="000000" w:themeColor="text1"/>
          <w:sz w:val="24"/>
          <w:szCs w:val="24"/>
        </w:rPr>
        <w:t>and modern award wages in this year’s AWR.</w:t>
      </w:r>
      <w:r w:rsidR="00EF7603">
        <w:rPr>
          <w:rFonts w:ascii="Arial" w:hAnsi="Arial" w:cs="Arial"/>
          <w:color w:val="000000" w:themeColor="text1"/>
          <w:sz w:val="24"/>
          <w:szCs w:val="24"/>
        </w:rPr>
        <w:t xml:space="preserve"> </w:t>
      </w:r>
    </w:p>
    <w:p w:rsidR="00E61D50" w:rsidRPr="00785D15" w:rsidRDefault="00EF7603" w:rsidP="00ED0408">
      <w:pPr>
        <w:pStyle w:val="ListParagraph"/>
        <w:numPr>
          <w:ilvl w:val="0"/>
          <w:numId w:val="25"/>
        </w:numPr>
        <w:tabs>
          <w:tab w:val="num" w:pos="600"/>
        </w:tabs>
        <w:spacing w:after="240" w:line="240" w:lineRule="auto"/>
        <w:ind w:left="567" w:hanging="567"/>
        <w:contextualSpacing w:val="0"/>
        <w:jc w:val="both"/>
        <w:rPr>
          <w:rFonts w:ascii="Arial" w:hAnsi="Arial" w:cs="Arial"/>
          <w:color w:val="000000" w:themeColor="text1"/>
          <w:sz w:val="24"/>
          <w:szCs w:val="24"/>
        </w:rPr>
      </w:pPr>
      <w:r w:rsidRPr="00785D15">
        <w:rPr>
          <w:rFonts w:ascii="Arial" w:hAnsi="Arial" w:cs="Arial"/>
          <w:color w:val="000000" w:themeColor="text1"/>
          <w:sz w:val="24"/>
          <w:szCs w:val="24"/>
        </w:rPr>
        <w:t xml:space="preserve">A balanced approach to the economic, social and labour market considerations relevant to the AWR is important to meet the objectives of the Act. In the </w:t>
      </w:r>
      <w:r w:rsidR="00E61D50" w:rsidRPr="00785D15">
        <w:rPr>
          <w:rFonts w:ascii="Arial" w:hAnsi="Arial" w:cs="Arial"/>
          <w:color w:val="000000" w:themeColor="text1"/>
          <w:sz w:val="24"/>
          <w:szCs w:val="24"/>
        </w:rPr>
        <w:t xml:space="preserve">current </w:t>
      </w:r>
      <w:r w:rsidRPr="00785D15">
        <w:rPr>
          <w:rFonts w:ascii="Arial" w:hAnsi="Arial" w:cs="Arial"/>
          <w:color w:val="000000" w:themeColor="text1"/>
          <w:sz w:val="24"/>
          <w:szCs w:val="24"/>
        </w:rPr>
        <w:t xml:space="preserve">economic climate it is also important </w:t>
      </w:r>
      <w:r w:rsidR="00E61D50" w:rsidRPr="00785D15">
        <w:rPr>
          <w:rFonts w:ascii="Arial" w:hAnsi="Arial" w:cs="Arial"/>
          <w:color w:val="000000" w:themeColor="text1"/>
          <w:sz w:val="24"/>
          <w:szCs w:val="24"/>
        </w:rPr>
        <w:t xml:space="preserve">that the needs of all workers, particularly those who are low paid and/or vulnerable, continue to be a key consideration </w:t>
      </w:r>
      <w:r w:rsidR="00785D15">
        <w:rPr>
          <w:rFonts w:ascii="Arial" w:hAnsi="Arial" w:cs="Arial"/>
          <w:color w:val="000000" w:themeColor="text1"/>
          <w:sz w:val="24"/>
          <w:szCs w:val="24"/>
        </w:rPr>
        <w:t>of</w:t>
      </w:r>
      <w:r w:rsidR="00E61D50" w:rsidRPr="00785D15">
        <w:rPr>
          <w:rFonts w:ascii="Arial" w:hAnsi="Arial" w:cs="Arial"/>
          <w:color w:val="000000" w:themeColor="text1"/>
          <w:sz w:val="24"/>
          <w:szCs w:val="24"/>
        </w:rPr>
        <w:t xml:space="preserve"> the Panel</w:t>
      </w:r>
      <w:r w:rsidR="00785D15" w:rsidRPr="00785D15">
        <w:rPr>
          <w:rFonts w:ascii="Arial" w:hAnsi="Arial" w:cs="Arial"/>
          <w:color w:val="000000" w:themeColor="text1"/>
          <w:sz w:val="24"/>
          <w:szCs w:val="24"/>
        </w:rPr>
        <w:t xml:space="preserve">. </w:t>
      </w:r>
      <w:r w:rsidR="00E61D50" w:rsidRPr="00785D15">
        <w:rPr>
          <w:rFonts w:ascii="Arial" w:hAnsi="Arial" w:cs="Arial"/>
          <w:color w:val="000000" w:themeColor="text1"/>
          <w:sz w:val="24"/>
          <w:szCs w:val="24"/>
        </w:rPr>
        <w:t xml:space="preserve">  </w:t>
      </w:r>
    </w:p>
    <w:p w:rsidR="00B41DD7" w:rsidRPr="00B41DD7" w:rsidRDefault="001773C1" w:rsidP="001773C1">
      <w:pPr>
        <w:pStyle w:val="ListParagraph"/>
        <w:numPr>
          <w:ilvl w:val="0"/>
          <w:numId w:val="25"/>
        </w:numPr>
        <w:spacing w:after="240" w:line="240" w:lineRule="auto"/>
        <w:ind w:left="567" w:hanging="567"/>
        <w:contextualSpacing w:val="0"/>
        <w:jc w:val="both"/>
        <w:rPr>
          <w:rFonts w:ascii="Arial" w:hAnsi="Arial" w:cs="Arial"/>
          <w:sz w:val="24"/>
          <w:szCs w:val="24"/>
        </w:rPr>
      </w:pPr>
      <w:r w:rsidRPr="00F0490B">
        <w:rPr>
          <w:rFonts w:ascii="Arial" w:eastAsia="Times New Roman" w:hAnsi="Arial" w:cs="Arial"/>
          <w:sz w:val="24"/>
          <w:szCs w:val="24"/>
          <w:lang w:val="en-US"/>
        </w:rPr>
        <w:t xml:space="preserve">In last year’s AWR Decision the Panel made the following observation regarding minimum wage increases: </w:t>
      </w:r>
    </w:p>
    <w:p w:rsidR="001773C1" w:rsidRPr="00B41DD7" w:rsidRDefault="001773C1" w:rsidP="00B41DD7">
      <w:pPr>
        <w:pStyle w:val="ListParagraph"/>
        <w:spacing w:after="240" w:line="240" w:lineRule="auto"/>
        <w:ind w:left="851" w:right="284"/>
        <w:contextualSpacing w:val="0"/>
        <w:jc w:val="both"/>
        <w:rPr>
          <w:rFonts w:ascii="Arial" w:hAnsi="Arial" w:cs="Arial"/>
          <w:sz w:val="20"/>
          <w:szCs w:val="20"/>
        </w:rPr>
      </w:pPr>
      <w:r w:rsidRPr="00B41DD7">
        <w:rPr>
          <w:rFonts w:ascii="Arial" w:eastAsia="Times New Roman" w:hAnsi="Arial" w:cs="Arial"/>
          <w:sz w:val="20"/>
          <w:szCs w:val="20"/>
          <w:lang w:val="en-US"/>
        </w:rPr>
        <w:t>“</w:t>
      </w:r>
      <w:r w:rsidRPr="00B41DD7">
        <w:rPr>
          <w:rFonts w:ascii="Arial" w:hAnsi="Arial" w:cs="Arial"/>
          <w:sz w:val="20"/>
          <w:szCs w:val="20"/>
        </w:rPr>
        <w:t>We remain of the view that modest and regular minimum wage increases do not result in disemployment effects or inhibit workforce participation.”</w:t>
      </w:r>
      <w:r w:rsidRPr="00B41DD7">
        <w:rPr>
          <w:rStyle w:val="FootnoteReference"/>
          <w:rFonts w:ascii="Arial" w:hAnsi="Arial" w:cs="Arial"/>
          <w:sz w:val="20"/>
          <w:szCs w:val="20"/>
        </w:rPr>
        <w:footnoteReference w:id="2"/>
      </w:r>
      <w:r w:rsidRPr="00B41DD7">
        <w:rPr>
          <w:rFonts w:ascii="Arial" w:hAnsi="Arial" w:cs="Arial"/>
          <w:sz w:val="20"/>
          <w:szCs w:val="20"/>
        </w:rPr>
        <w:t xml:space="preserve"> </w:t>
      </w:r>
    </w:p>
    <w:p w:rsidR="001773C1" w:rsidRDefault="001773C1" w:rsidP="001773C1">
      <w:pPr>
        <w:pStyle w:val="ListParagraph"/>
        <w:numPr>
          <w:ilvl w:val="0"/>
          <w:numId w:val="25"/>
        </w:numPr>
        <w:spacing w:after="240" w:line="240" w:lineRule="auto"/>
        <w:ind w:left="567" w:hanging="567"/>
        <w:contextualSpacing w:val="0"/>
        <w:jc w:val="both"/>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t xml:space="preserve">The Western Australian Government concurs with </w:t>
      </w:r>
      <w:r w:rsidR="000F1E93">
        <w:rPr>
          <w:rFonts w:ascii="Arial" w:eastAsia="Times New Roman" w:hAnsi="Arial" w:cs="Arial"/>
          <w:color w:val="000000" w:themeColor="text1"/>
          <w:sz w:val="24"/>
          <w:szCs w:val="24"/>
          <w:lang w:val="en-US"/>
        </w:rPr>
        <w:t>th</w:t>
      </w:r>
      <w:r w:rsidR="005159A1">
        <w:rPr>
          <w:rFonts w:ascii="Arial" w:eastAsia="Times New Roman" w:hAnsi="Arial" w:cs="Arial"/>
          <w:color w:val="000000" w:themeColor="text1"/>
          <w:sz w:val="24"/>
          <w:szCs w:val="24"/>
          <w:lang w:val="en-US"/>
        </w:rPr>
        <w:t xml:space="preserve">e above </w:t>
      </w:r>
      <w:r w:rsidR="000F1E93">
        <w:rPr>
          <w:rFonts w:ascii="Arial" w:eastAsia="Times New Roman" w:hAnsi="Arial" w:cs="Arial"/>
          <w:color w:val="000000" w:themeColor="text1"/>
          <w:sz w:val="24"/>
          <w:szCs w:val="24"/>
          <w:lang w:val="en-US"/>
        </w:rPr>
        <w:t>view,</w:t>
      </w:r>
      <w:r>
        <w:rPr>
          <w:rFonts w:ascii="Arial" w:eastAsia="Times New Roman" w:hAnsi="Arial" w:cs="Arial"/>
          <w:color w:val="000000" w:themeColor="text1"/>
          <w:sz w:val="24"/>
          <w:szCs w:val="24"/>
          <w:lang w:val="en-US"/>
        </w:rPr>
        <w:t xml:space="preserve"> and notes that in</w:t>
      </w:r>
      <w:r w:rsidRPr="0060351D">
        <w:rPr>
          <w:rFonts w:ascii="Arial" w:eastAsia="Times New Roman" w:hAnsi="Arial" w:cs="Arial"/>
          <w:color w:val="000000" w:themeColor="text1"/>
          <w:sz w:val="24"/>
          <w:szCs w:val="24"/>
          <w:lang w:val="en-US"/>
        </w:rPr>
        <w:t xml:space="preserve"> 201</w:t>
      </w:r>
      <w:r>
        <w:rPr>
          <w:rFonts w:ascii="Arial" w:eastAsia="Times New Roman" w:hAnsi="Arial" w:cs="Arial"/>
          <w:color w:val="000000" w:themeColor="text1"/>
          <w:sz w:val="24"/>
          <w:szCs w:val="24"/>
          <w:lang w:val="en-US"/>
        </w:rPr>
        <w:t>8</w:t>
      </w:r>
      <w:r w:rsidRPr="0060351D">
        <w:rPr>
          <w:rFonts w:ascii="Arial" w:eastAsia="Times New Roman" w:hAnsi="Arial" w:cs="Arial"/>
          <w:color w:val="000000" w:themeColor="text1"/>
          <w:sz w:val="24"/>
          <w:szCs w:val="24"/>
          <w:lang w:val="en-US"/>
        </w:rPr>
        <w:t xml:space="preserve"> the Panel awarded a 3.</w:t>
      </w:r>
      <w:r>
        <w:rPr>
          <w:rFonts w:ascii="Arial" w:eastAsia="Times New Roman" w:hAnsi="Arial" w:cs="Arial"/>
          <w:color w:val="000000" w:themeColor="text1"/>
          <w:sz w:val="24"/>
          <w:szCs w:val="24"/>
          <w:lang w:val="en-US"/>
        </w:rPr>
        <w:t>5</w:t>
      </w:r>
      <w:r w:rsidRPr="0060351D">
        <w:rPr>
          <w:rFonts w:ascii="Arial" w:eastAsia="Times New Roman" w:hAnsi="Arial" w:cs="Arial"/>
          <w:color w:val="000000" w:themeColor="text1"/>
          <w:sz w:val="24"/>
          <w:szCs w:val="24"/>
          <w:lang w:val="en-US"/>
        </w:rPr>
        <w:t xml:space="preserve"> per cent increase to minimum and award wages</w:t>
      </w:r>
      <w:r>
        <w:rPr>
          <w:rFonts w:ascii="Arial" w:eastAsia="Times New Roman" w:hAnsi="Arial" w:cs="Arial"/>
          <w:color w:val="000000" w:themeColor="text1"/>
          <w:sz w:val="24"/>
          <w:szCs w:val="24"/>
          <w:lang w:val="en-US"/>
        </w:rPr>
        <w:t xml:space="preserve">. That decision has not </w:t>
      </w:r>
      <w:r w:rsidRPr="00175A79">
        <w:rPr>
          <w:rFonts w:ascii="Arial" w:eastAsia="Times New Roman" w:hAnsi="Arial" w:cs="Arial"/>
          <w:color w:val="000000" w:themeColor="text1"/>
          <w:sz w:val="24"/>
          <w:szCs w:val="24"/>
          <w:lang w:val="en-US"/>
        </w:rPr>
        <w:t>adversely</w:t>
      </w:r>
      <w:r>
        <w:rPr>
          <w:rFonts w:ascii="Arial" w:eastAsia="Times New Roman" w:hAnsi="Arial" w:cs="Arial"/>
          <w:color w:val="000000" w:themeColor="text1"/>
          <w:sz w:val="24"/>
          <w:szCs w:val="24"/>
          <w:lang w:val="en-US"/>
        </w:rPr>
        <w:t xml:space="preserve"> affected the Australian labour market, which has continued to perform strongly over the course of 2018-19, particularly in the states of New South Wales and Victoria.</w:t>
      </w:r>
    </w:p>
    <w:p w:rsidR="001773C1" w:rsidRPr="00475A74" w:rsidRDefault="001773C1" w:rsidP="001773C1">
      <w:pPr>
        <w:pStyle w:val="ListParagraph"/>
        <w:numPr>
          <w:ilvl w:val="0"/>
          <w:numId w:val="25"/>
        </w:numPr>
        <w:spacing w:after="240" w:line="240" w:lineRule="auto"/>
        <w:ind w:left="567" w:hanging="567"/>
        <w:contextualSpacing w:val="0"/>
        <w:jc w:val="both"/>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t>The national unemployment rate in Australia current</w:t>
      </w:r>
      <w:r w:rsidR="000F1E93">
        <w:rPr>
          <w:rFonts w:ascii="Arial" w:eastAsia="Times New Roman" w:hAnsi="Arial" w:cs="Arial"/>
          <w:color w:val="000000" w:themeColor="text1"/>
          <w:sz w:val="24"/>
          <w:szCs w:val="24"/>
          <w:lang w:val="en-US"/>
        </w:rPr>
        <w:t>ly</w:t>
      </w:r>
      <w:r>
        <w:rPr>
          <w:rFonts w:ascii="Arial" w:eastAsia="Times New Roman" w:hAnsi="Arial" w:cs="Arial"/>
          <w:color w:val="000000" w:themeColor="text1"/>
          <w:sz w:val="24"/>
          <w:szCs w:val="24"/>
          <w:lang w:val="en-US"/>
        </w:rPr>
        <w:t xml:space="preserve"> sits at 5.0 per cent, </w:t>
      </w:r>
      <w:r w:rsidRPr="00475A74">
        <w:rPr>
          <w:rFonts w:ascii="Arial" w:eastAsia="Times New Roman" w:hAnsi="Arial" w:cs="Arial"/>
          <w:color w:val="000000" w:themeColor="text1"/>
          <w:sz w:val="24"/>
          <w:szCs w:val="24"/>
          <w:lang w:val="en-US"/>
        </w:rPr>
        <w:t xml:space="preserve">the </w:t>
      </w:r>
      <w:r>
        <w:rPr>
          <w:rFonts w:ascii="Arial" w:eastAsia="Times New Roman" w:hAnsi="Arial" w:cs="Arial"/>
          <w:color w:val="000000" w:themeColor="text1"/>
          <w:sz w:val="24"/>
          <w:szCs w:val="24"/>
          <w:lang w:val="en-US"/>
        </w:rPr>
        <w:t xml:space="preserve">equal </w:t>
      </w:r>
      <w:r w:rsidRPr="00475A74">
        <w:rPr>
          <w:rFonts w:ascii="Arial" w:eastAsia="Times New Roman" w:hAnsi="Arial" w:cs="Arial"/>
          <w:color w:val="000000" w:themeColor="text1"/>
          <w:sz w:val="24"/>
          <w:szCs w:val="24"/>
          <w:lang w:val="en-US"/>
        </w:rPr>
        <w:t xml:space="preserve">lowest level in </w:t>
      </w:r>
      <w:r>
        <w:rPr>
          <w:rFonts w:ascii="Arial" w:eastAsia="Times New Roman" w:hAnsi="Arial" w:cs="Arial"/>
          <w:color w:val="000000" w:themeColor="text1"/>
          <w:sz w:val="24"/>
          <w:szCs w:val="24"/>
          <w:lang w:val="en-US"/>
        </w:rPr>
        <w:t xml:space="preserve">almost </w:t>
      </w:r>
      <w:r w:rsidRPr="00475A74">
        <w:rPr>
          <w:rFonts w:ascii="Arial" w:eastAsia="Times New Roman" w:hAnsi="Arial" w:cs="Arial"/>
          <w:color w:val="000000" w:themeColor="text1"/>
          <w:sz w:val="24"/>
          <w:szCs w:val="24"/>
          <w:lang w:val="en-US"/>
        </w:rPr>
        <w:t>six years</w:t>
      </w:r>
      <w:r>
        <w:rPr>
          <w:rFonts w:ascii="Arial" w:eastAsia="Times New Roman" w:hAnsi="Arial" w:cs="Arial"/>
          <w:color w:val="000000" w:themeColor="text1"/>
          <w:sz w:val="24"/>
          <w:szCs w:val="24"/>
          <w:lang w:val="en-US"/>
        </w:rPr>
        <w:t>.</w:t>
      </w:r>
      <w:r w:rsidRPr="00475A74">
        <w:rPr>
          <w:rFonts w:ascii="Arial" w:eastAsia="Times New Roman" w:hAnsi="Arial" w:cs="Arial"/>
          <w:color w:val="000000" w:themeColor="text1"/>
          <w:sz w:val="24"/>
          <w:szCs w:val="24"/>
          <w:lang w:val="en-US"/>
        </w:rPr>
        <w:t xml:space="preserve"> </w:t>
      </w:r>
      <w:r>
        <w:rPr>
          <w:rFonts w:ascii="Arial" w:eastAsia="Times New Roman" w:hAnsi="Arial" w:cs="Arial"/>
          <w:color w:val="000000" w:themeColor="text1"/>
          <w:sz w:val="24"/>
          <w:szCs w:val="24"/>
          <w:lang w:val="en-US"/>
        </w:rPr>
        <w:t>Total employment grew at an annual average rate of 2.6 per cent over the year to January 2019.</w:t>
      </w:r>
      <w:r>
        <w:rPr>
          <w:rStyle w:val="FootnoteReference"/>
          <w:rFonts w:ascii="Arial" w:eastAsia="Times New Roman" w:hAnsi="Arial" w:cs="Arial"/>
          <w:color w:val="000000" w:themeColor="text1"/>
          <w:sz w:val="24"/>
          <w:szCs w:val="24"/>
          <w:lang w:val="en-US"/>
        </w:rPr>
        <w:footnoteReference w:id="3"/>
      </w:r>
      <w:r w:rsidRPr="00475A74">
        <w:rPr>
          <w:rFonts w:ascii="Arial" w:eastAsia="Times New Roman" w:hAnsi="Arial" w:cs="Arial"/>
          <w:color w:val="000000" w:themeColor="text1"/>
          <w:sz w:val="24"/>
          <w:szCs w:val="24"/>
          <w:lang w:val="en-US"/>
        </w:rPr>
        <w:t xml:space="preserve"> </w:t>
      </w:r>
      <w:r>
        <w:rPr>
          <w:rFonts w:ascii="Arial" w:eastAsia="Times New Roman" w:hAnsi="Arial" w:cs="Arial"/>
          <w:color w:val="000000" w:themeColor="text1"/>
          <w:sz w:val="24"/>
          <w:szCs w:val="24"/>
          <w:lang w:val="en-US"/>
        </w:rPr>
        <w:t xml:space="preserve"> </w:t>
      </w:r>
    </w:p>
    <w:p w:rsidR="00E61D50" w:rsidRPr="00785D15" w:rsidRDefault="00B41DD7" w:rsidP="00E61D50">
      <w:pPr>
        <w:pStyle w:val="ListParagraph"/>
        <w:numPr>
          <w:ilvl w:val="0"/>
          <w:numId w:val="25"/>
        </w:numPr>
        <w:spacing w:after="240" w:line="240" w:lineRule="auto"/>
        <w:ind w:left="567" w:hanging="567"/>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Notwithstanding </w:t>
      </w:r>
      <w:r w:rsidR="001773C1">
        <w:rPr>
          <w:rFonts w:ascii="Arial" w:hAnsi="Arial" w:cs="Arial"/>
          <w:color w:val="000000" w:themeColor="text1"/>
          <w:sz w:val="24"/>
          <w:szCs w:val="24"/>
        </w:rPr>
        <w:t xml:space="preserve">the </w:t>
      </w:r>
      <w:r>
        <w:rPr>
          <w:rFonts w:ascii="Arial" w:hAnsi="Arial" w:cs="Arial"/>
          <w:color w:val="000000" w:themeColor="text1"/>
          <w:sz w:val="24"/>
          <w:szCs w:val="24"/>
        </w:rPr>
        <w:t>apparent strength of the national labour market, i</w:t>
      </w:r>
      <w:r w:rsidR="00E61D50" w:rsidRPr="00785D15">
        <w:rPr>
          <w:rFonts w:ascii="Arial" w:hAnsi="Arial" w:cs="Arial"/>
          <w:color w:val="000000" w:themeColor="text1"/>
          <w:sz w:val="24"/>
          <w:szCs w:val="24"/>
        </w:rPr>
        <w:t>n recent years stagnant wages growth and below average household income growth have combined to create considerable challenges for many workers</w:t>
      </w:r>
      <w:r w:rsidR="00785D15" w:rsidRPr="00785D15">
        <w:rPr>
          <w:rFonts w:ascii="Arial" w:hAnsi="Arial" w:cs="Arial"/>
          <w:color w:val="000000" w:themeColor="text1"/>
          <w:sz w:val="24"/>
          <w:szCs w:val="24"/>
        </w:rPr>
        <w:t xml:space="preserve"> </w:t>
      </w:r>
      <w:r w:rsidR="001773C1">
        <w:rPr>
          <w:rFonts w:ascii="Arial" w:hAnsi="Arial" w:cs="Arial"/>
          <w:color w:val="000000" w:themeColor="text1"/>
          <w:sz w:val="24"/>
          <w:szCs w:val="24"/>
        </w:rPr>
        <w:t xml:space="preserve">and contributed to </w:t>
      </w:r>
      <w:r w:rsidR="00E61D50" w:rsidRPr="00785D15">
        <w:rPr>
          <w:rFonts w:ascii="Arial" w:hAnsi="Arial" w:cs="Arial"/>
          <w:color w:val="000000" w:themeColor="text1"/>
          <w:sz w:val="24"/>
          <w:szCs w:val="24"/>
        </w:rPr>
        <w:t xml:space="preserve">subdued household expenditure.  </w:t>
      </w:r>
    </w:p>
    <w:p w:rsidR="00E61D50" w:rsidRPr="00785D15" w:rsidRDefault="00E61D50" w:rsidP="00785D15">
      <w:pPr>
        <w:pStyle w:val="ListParagraph"/>
        <w:numPr>
          <w:ilvl w:val="0"/>
          <w:numId w:val="25"/>
        </w:numPr>
        <w:tabs>
          <w:tab w:val="num" w:pos="600"/>
        </w:tabs>
        <w:spacing w:after="240" w:line="240" w:lineRule="auto"/>
        <w:ind w:left="567" w:hanging="567"/>
        <w:contextualSpacing w:val="0"/>
        <w:jc w:val="both"/>
        <w:rPr>
          <w:rFonts w:ascii="Arial" w:hAnsi="Arial" w:cs="Arial"/>
          <w:color w:val="000000" w:themeColor="text1"/>
          <w:sz w:val="24"/>
          <w:szCs w:val="24"/>
        </w:rPr>
      </w:pPr>
      <w:r w:rsidRPr="00785D15">
        <w:rPr>
          <w:rFonts w:ascii="Arial" w:hAnsi="Arial" w:cs="Arial"/>
          <w:color w:val="000000" w:themeColor="text1"/>
          <w:sz w:val="24"/>
          <w:szCs w:val="24"/>
        </w:rPr>
        <w:t>The Governor of the Reserve Bank</w:t>
      </w:r>
      <w:r w:rsidR="00785D15" w:rsidRPr="00785D15">
        <w:rPr>
          <w:rFonts w:ascii="Arial" w:hAnsi="Arial" w:cs="Arial"/>
          <w:color w:val="000000" w:themeColor="text1"/>
          <w:sz w:val="24"/>
          <w:szCs w:val="24"/>
        </w:rPr>
        <w:t>,</w:t>
      </w:r>
      <w:r w:rsidRPr="00785D15">
        <w:rPr>
          <w:rFonts w:ascii="Arial" w:hAnsi="Arial" w:cs="Arial"/>
          <w:color w:val="000000" w:themeColor="text1"/>
          <w:sz w:val="24"/>
          <w:szCs w:val="24"/>
        </w:rPr>
        <w:t xml:space="preserve"> </w:t>
      </w:r>
      <w:r w:rsidR="00785D15" w:rsidRPr="00785D15">
        <w:rPr>
          <w:rFonts w:ascii="Arial" w:hAnsi="Arial" w:cs="Arial"/>
          <w:color w:val="000000" w:themeColor="text1"/>
          <w:sz w:val="24"/>
          <w:szCs w:val="24"/>
        </w:rPr>
        <w:t>Dr</w:t>
      </w:r>
      <w:r w:rsidRPr="00785D15">
        <w:rPr>
          <w:rFonts w:ascii="Arial" w:hAnsi="Arial" w:cs="Arial"/>
          <w:color w:val="000000" w:themeColor="text1"/>
          <w:sz w:val="24"/>
          <w:szCs w:val="24"/>
        </w:rPr>
        <w:t xml:space="preserve"> Phillip Lowe</w:t>
      </w:r>
      <w:r w:rsidR="00785D15" w:rsidRPr="00785D15">
        <w:rPr>
          <w:rFonts w:ascii="Arial" w:hAnsi="Arial" w:cs="Arial"/>
          <w:color w:val="000000" w:themeColor="text1"/>
          <w:sz w:val="24"/>
          <w:szCs w:val="24"/>
        </w:rPr>
        <w:t>,</w:t>
      </w:r>
      <w:r w:rsidRPr="00785D15">
        <w:rPr>
          <w:rFonts w:ascii="Arial" w:hAnsi="Arial" w:cs="Arial"/>
          <w:color w:val="000000" w:themeColor="text1"/>
          <w:sz w:val="24"/>
          <w:szCs w:val="24"/>
        </w:rPr>
        <w:t xml:space="preserve"> recently noted before the House of Representative</w:t>
      </w:r>
      <w:r w:rsidR="000F1E93">
        <w:rPr>
          <w:rFonts w:ascii="Arial" w:hAnsi="Arial" w:cs="Arial"/>
          <w:color w:val="000000" w:themeColor="text1"/>
          <w:sz w:val="24"/>
          <w:szCs w:val="24"/>
        </w:rPr>
        <w:t>s</w:t>
      </w:r>
      <w:r w:rsidRPr="00785D15">
        <w:rPr>
          <w:rFonts w:ascii="Arial" w:hAnsi="Arial" w:cs="Arial"/>
          <w:color w:val="000000" w:themeColor="text1"/>
          <w:sz w:val="24"/>
          <w:szCs w:val="24"/>
        </w:rPr>
        <w:t xml:space="preserve"> Standing Committee on Economics that stagnant household income is a threat to consumer spending, </w:t>
      </w:r>
      <w:r w:rsidR="001773C1">
        <w:rPr>
          <w:rFonts w:ascii="Arial" w:hAnsi="Arial" w:cs="Arial"/>
          <w:color w:val="000000" w:themeColor="text1"/>
          <w:sz w:val="24"/>
          <w:szCs w:val="24"/>
        </w:rPr>
        <w:t xml:space="preserve">particularly as </w:t>
      </w:r>
      <w:r w:rsidRPr="00785D15">
        <w:rPr>
          <w:rFonts w:ascii="Arial" w:hAnsi="Arial" w:cs="Arial"/>
          <w:color w:val="000000" w:themeColor="text1"/>
          <w:sz w:val="24"/>
          <w:szCs w:val="24"/>
        </w:rPr>
        <w:t>60 per cent of the econom</w:t>
      </w:r>
      <w:r w:rsidR="00EF7603" w:rsidRPr="00785D15">
        <w:rPr>
          <w:rFonts w:ascii="Arial" w:hAnsi="Arial" w:cs="Arial"/>
          <w:color w:val="000000" w:themeColor="text1"/>
          <w:sz w:val="24"/>
          <w:szCs w:val="24"/>
        </w:rPr>
        <w:t xml:space="preserve">y </w:t>
      </w:r>
      <w:r w:rsidR="00785D15" w:rsidRPr="00785D15">
        <w:rPr>
          <w:rFonts w:ascii="Arial" w:hAnsi="Arial" w:cs="Arial"/>
          <w:color w:val="000000" w:themeColor="text1"/>
          <w:sz w:val="24"/>
          <w:szCs w:val="24"/>
        </w:rPr>
        <w:t xml:space="preserve">is </w:t>
      </w:r>
      <w:r w:rsidR="00EF7603" w:rsidRPr="00785D15">
        <w:rPr>
          <w:rFonts w:ascii="Arial" w:hAnsi="Arial" w:cs="Arial"/>
          <w:color w:val="000000" w:themeColor="text1"/>
          <w:sz w:val="24"/>
          <w:szCs w:val="24"/>
        </w:rPr>
        <w:t>based on consumer expenditure</w:t>
      </w:r>
      <w:r w:rsidR="00785D15" w:rsidRPr="00785D15">
        <w:rPr>
          <w:rFonts w:ascii="Arial" w:hAnsi="Arial" w:cs="Arial"/>
          <w:color w:val="000000" w:themeColor="text1"/>
          <w:sz w:val="24"/>
          <w:szCs w:val="24"/>
        </w:rPr>
        <w:t xml:space="preserve">. Dr Lowe </w:t>
      </w:r>
      <w:r w:rsidR="001773C1">
        <w:rPr>
          <w:rFonts w:ascii="Arial" w:hAnsi="Arial" w:cs="Arial"/>
          <w:color w:val="000000" w:themeColor="text1"/>
          <w:sz w:val="24"/>
          <w:szCs w:val="24"/>
        </w:rPr>
        <w:t xml:space="preserve">observed </w:t>
      </w:r>
      <w:r w:rsidR="00EF7603" w:rsidRPr="00785D15">
        <w:rPr>
          <w:rFonts w:ascii="Arial" w:hAnsi="Arial" w:cs="Arial"/>
          <w:color w:val="000000" w:themeColor="text1"/>
          <w:sz w:val="24"/>
          <w:szCs w:val="24"/>
        </w:rPr>
        <w:t xml:space="preserve">that while aggregate household income previously grew at </w:t>
      </w:r>
      <w:r w:rsidR="00DC263C">
        <w:rPr>
          <w:rFonts w:ascii="Arial" w:hAnsi="Arial" w:cs="Arial"/>
          <w:color w:val="000000" w:themeColor="text1"/>
          <w:sz w:val="24"/>
          <w:szCs w:val="24"/>
        </w:rPr>
        <w:t>6</w:t>
      </w:r>
      <w:r w:rsidR="00EF7603" w:rsidRPr="00785D15">
        <w:rPr>
          <w:rFonts w:ascii="Arial" w:hAnsi="Arial" w:cs="Arial"/>
          <w:color w:val="000000" w:themeColor="text1"/>
          <w:sz w:val="24"/>
          <w:szCs w:val="24"/>
        </w:rPr>
        <w:t xml:space="preserve"> per cent per year, it is currently growing at below </w:t>
      </w:r>
      <w:r w:rsidR="00DC263C">
        <w:rPr>
          <w:rFonts w:ascii="Arial" w:hAnsi="Arial" w:cs="Arial"/>
          <w:color w:val="000000" w:themeColor="text1"/>
          <w:sz w:val="24"/>
          <w:szCs w:val="24"/>
        </w:rPr>
        <w:t>3</w:t>
      </w:r>
      <w:r w:rsidR="00785D15">
        <w:rPr>
          <w:rFonts w:ascii="Arial" w:hAnsi="Arial" w:cs="Arial"/>
          <w:color w:val="000000" w:themeColor="text1"/>
          <w:sz w:val="24"/>
          <w:szCs w:val="24"/>
        </w:rPr>
        <w:t> </w:t>
      </w:r>
      <w:r w:rsidR="00EF7603" w:rsidRPr="00785D15">
        <w:rPr>
          <w:rFonts w:ascii="Arial" w:hAnsi="Arial" w:cs="Arial"/>
          <w:color w:val="000000" w:themeColor="text1"/>
          <w:sz w:val="24"/>
          <w:szCs w:val="24"/>
        </w:rPr>
        <w:t>per</w:t>
      </w:r>
      <w:r w:rsidR="00DC263C">
        <w:rPr>
          <w:rFonts w:ascii="Arial" w:hAnsi="Arial" w:cs="Arial"/>
          <w:color w:val="000000" w:themeColor="text1"/>
          <w:sz w:val="24"/>
          <w:szCs w:val="24"/>
        </w:rPr>
        <w:t> </w:t>
      </w:r>
      <w:r w:rsidR="00EF7603" w:rsidRPr="00785D15">
        <w:rPr>
          <w:rFonts w:ascii="Arial" w:hAnsi="Arial" w:cs="Arial"/>
          <w:color w:val="000000" w:themeColor="text1"/>
          <w:sz w:val="24"/>
          <w:szCs w:val="24"/>
        </w:rPr>
        <w:t>cent.</w:t>
      </w:r>
      <w:r w:rsidR="00EF7603" w:rsidRPr="00785D15">
        <w:rPr>
          <w:rStyle w:val="FootnoteReference"/>
          <w:rFonts w:ascii="Arial" w:hAnsi="Arial" w:cs="Arial"/>
          <w:color w:val="000000" w:themeColor="text1"/>
          <w:sz w:val="24"/>
          <w:szCs w:val="24"/>
        </w:rPr>
        <w:footnoteReference w:id="4"/>
      </w:r>
      <w:r w:rsidR="00785D15" w:rsidRPr="00785D15">
        <w:rPr>
          <w:rFonts w:ascii="Arial" w:hAnsi="Arial" w:cs="Arial"/>
          <w:color w:val="000000" w:themeColor="text1"/>
          <w:sz w:val="24"/>
          <w:szCs w:val="24"/>
        </w:rPr>
        <w:t xml:space="preserve"> </w:t>
      </w:r>
    </w:p>
    <w:p w:rsidR="001F726F" w:rsidRPr="00640CE3" w:rsidRDefault="001F726F" w:rsidP="001F726F">
      <w:pPr>
        <w:pStyle w:val="ListParagraph"/>
        <w:numPr>
          <w:ilvl w:val="0"/>
          <w:numId w:val="25"/>
        </w:numPr>
        <w:spacing w:after="240" w:line="240" w:lineRule="auto"/>
        <w:ind w:left="567" w:hanging="567"/>
        <w:contextualSpacing w:val="0"/>
        <w:jc w:val="both"/>
        <w:rPr>
          <w:rFonts w:ascii="Arial" w:hAnsi="Arial" w:cs="Arial"/>
          <w:color w:val="000000" w:themeColor="text1"/>
          <w:sz w:val="24"/>
          <w:szCs w:val="24"/>
        </w:rPr>
      </w:pPr>
      <w:r w:rsidRPr="00640CE3">
        <w:rPr>
          <w:rFonts w:ascii="Arial" w:hAnsi="Arial" w:cs="Arial"/>
          <w:color w:val="000000" w:themeColor="text1"/>
          <w:sz w:val="24"/>
          <w:szCs w:val="24"/>
        </w:rPr>
        <w:t xml:space="preserve">While the AWR cannot address all of the </w:t>
      </w:r>
      <w:r w:rsidR="000F1E93">
        <w:rPr>
          <w:rFonts w:ascii="Arial" w:hAnsi="Arial" w:cs="Arial"/>
          <w:color w:val="000000" w:themeColor="text1"/>
          <w:sz w:val="24"/>
          <w:szCs w:val="24"/>
        </w:rPr>
        <w:t xml:space="preserve">factors inhibiting </w:t>
      </w:r>
      <w:r w:rsidR="00785D15">
        <w:rPr>
          <w:rFonts w:ascii="Arial" w:hAnsi="Arial" w:cs="Arial"/>
          <w:color w:val="000000" w:themeColor="text1"/>
          <w:sz w:val="24"/>
          <w:szCs w:val="24"/>
        </w:rPr>
        <w:t xml:space="preserve">household consumption, </w:t>
      </w:r>
      <w:r w:rsidR="001773C1">
        <w:rPr>
          <w:rFonts w:ascii="Arial" w:hAnsi="Arial" w:cs="Arial"/>
          <w:color w:val="000000" w:themeColor="text1"/>
          <w:sz w:val="24"/>
          <w:szCs w:val="24"/>
        </w:rPr>
        <w:t xml:space="preserve">a healthy increase </w:t>
      </w:r>
      <w:r w:rsidR="00785D15">
        <w:rPr>
          <w:rFonts w:ascii="Arial" w:hAnsi="Arial" w:cs="Arial"/>
          <w:color w:val="000000" w:themeColor="text1"/>
          <w:sz w:val="24"/>
          <w:szCs w:val="24"/>
        </w:rPr>
        <w:t xml:space="preserve">in </w:t>
      </w:r>
      <w:r w:rsidR="001773C1">
        <w:rPr>
          <w:rFonts w:ascii="Arial" w:hAnsi="Arial" w:cs="Arial"/>
          <w:color w:val="000000" w:themeColor="text1"/>
          <w:sz w:val="24"/>
          <w:szCs w:val="24"/>
        </w:rPr>
        <w:t xml:space="preserve">minimum rates of pay can </w:t>
      </w:r>
      <w:r w:rsidR="00785D15">
        <w:rPr>
          <w:rFonts w:ascii="Arial" w:hAnsi="Arial" w:cs="Arial"/>
          <w:color w:val="000000" w:themeColor="text1"/>
          <w:sz w:val="24"/>
          <w:szCs w:val="24"/>
        </w:rPr>
        <w:t xml:space="preserve">help to counter low wages growth and </w:t>
      </w:r>
      <w:r w:rsidRPr="00640CE3">
        <w:rPr>
          <w:rFonts w:ascii="Arial" w:hAnsi="Arial" w:cs="Arial"/>
          <w:color w:val="000000" w:themeColor="text1"/>
          <w:sz w:val="24"/>
          <w:szCs w:val="24"/>
        </w:rPr>
        <w:t xml:space="preserve">ensure </w:t>
      </w:r>
      <w:r w:rsidR="00785D15">
        <w:rPr>
          <w:rFonts w:ascii="Arial" w:hAnsi="Arial" w:cs="Arial"/>
          <w:color w:val="000000" w:themeColor="text1"/>
          <w:sz w:val="24"/>
          <w:szCs w:val="24"/>
        </w:rPr>
        <w:t xml:space="preserve">that </w:t>
      </w:r>
      <w:r w:rsidR="00C61599" w:rsidRPr="00640CE3">
        <w:rPr>
          <w:rFonts w:ascii="Arial" w:hAnsi="Arial" w:cs="Arial"/>
          <w:color w:val="000000" w:themeColor="text1"/>
          <w:sz w:val="24"/>
          <w:szCs w:val="24"/>
        </w:rPr>
        <w:t xml:space="preserve">workers </w:t>
      </w:r>
      <w:r w:rsidRPr="00640CE3">
        <w:rPr>
          <w:rFonts w:ascii="Arial" w:hAnsi="Arial" w:cs="Arial"/>
          <w:color w:val="000000" w:themeColor="text1"/>
          <w:sz w:val="24"/>
          <w:szCs w:val="24"/>
        </w:rPr>
        <w:t xml:space="preserve">are afforded </w:t>
      </w:r>
      <w:r w:rsidR="00EF7603">
        <w:rPr>
          <w:rFonts w:ascii="Arial" w:hAnsi="Arial" w:cs="Arial"/>
          <w:color w:val="000000" w:themeColor="text1"/>
          <w:sz w:val="24"/>
          <w:szCs w:val="24"/>
        </w:rPr>
        <w:t xml:space="preserve">a </w:t>
      </w:r>
      <w:r w:rsidR="00C61599" w:rsidRPr="00640CE3">
        <w:rPr>
          <w:rFonts w:ascii="Arial" w:hAnsi="Arial" w:cs="Arial"/>
          <w:color w:val="000000" w:themeColor="text1"/>
          <w:sz w:val="24"/>
          <w:szCs w:val="24"/>
        </w:rPr>
        <w:t>fair</w:t>
      </w:r>
      <w:r w:rsidR="00785D15">
        <w:rPr>
          <w:rFonts w:ascii="Arial" w:hAnsi="Arial" w:cs="Arial"/>
          <w:color w:val="000000" w:themeColor="text1"/>
          <w:sz w:val="24"/>
          <w:szCs w:val="24"/>
        </w:rPr>
        <w:t>er</w:t>
      </w:r>
      <w:r w:rsidR="00C61599" w:rsidRPr="00640CE3">
        <w:rPr>
          <w:rFonts w:ascii="Arial" w:hAnsi="Arial" w:cs="Arial"/>
          <w:color w:val="000000" w:themeColor="text1"/>
          <w:sz w:val="24"/>
          <w:szCs w:val="24"/>
        </w:rPr>
        <w:t xml:space="preserve"> share of </w:t>
      </w:r>
      <w:r w:rsidR="00785D15">
        <w:rPr>
          <w:rFonts w:ascii="Arial" w:hAnsi="Arial" w:cs="Arial"/>
          <w:color w:val="000000" w:themeColor="text1"/>
          <w:sz w:val="24"/>
          <w:szCs w:val="24"/>
        </w:rPr>
        <w:t xml:space="preserve">the productivity </w:t>
      </w:r>
      <w:r w:rsidR="001773C1">
        <w:rPr>
          <w:rFonts w:ascii="Arial" w:hAnsi="Arial" w:cs="Arial"/>
          <w:color w:val="000000" w:themeColor="text1"/>
          <w:sz w:val="24"/>
          <w:szCs w:val="24"/>
        </w:rPr>
        <w:t xml:space="preserve">gains </w:t>
      </w:r>
      <w:r w:rsidR="00785D15">
        <w:rPr>
          <w:rFonts w:ascii="Arial" w:hAnsi="Arial" w:cs="Arial"/>
          <w:color w:val="000000" w:themeColor="text1"/>
          <w:sz w:val="24"/>
          <w:szCs w:val="24"/>
        </w:rPr>
        <w:t xml:space="preserve">that have </w:t>
      </w:r>
      <w:r w:rsidR="001773C1">
        <w:rPr>
          <w:rFonts w:ascii="Arial" w:hAnsi="Arial" w:cs="Arial"/>
          <w:color w:val="000000" w:themeColor="text1"/>
          <w:sz w:val="24"/>
          <w:szCs w:val="24"/>
        </w:rPr>
        <w:t xml:space="preserve">occurred in Australia in recent years.  </w:t>
      </w:r>
      <w:r w:rsidR="00785D15">
        <w:rPr>
          <w:rFonts w:ascii="Arial" w:hAnsi="Arial" w:cs="Arial"/>
          <w:color w:val="000000" w:themeColor="text1"/>
          <w:sz w:val="24"/>
          <w:szCs w:val="24"/>
        </w:rPr>
        <w:t xml:space="preserve">  </w:t>
      </w:r>
      <w:r w:rsidR="00C61599" w:rsidRPr="00640CE3">
        <w:rPr>
          <w:rFonts w:ascii="Arial" w:hAnsi="Arial" w:cs="Arial"/>
          <w:color w:val="000000" w:themeColor="text1"/>
          <w:sz w:val="24"/>
          <w:szCs w:val="24"/>
        </w:rPr>
        <w:t xml:space="preserve"> </w:t>
      </w:r>
      <w:r w:rsidRPr="00640CE3">
        <w:rPr>
          <w:rFonts w:ascii="Arial" w:hAnsi="Arial" w:cs="Arial"/>
          <w:color w:val="000000" w:themeColor="text1"/>
          <w:sz w:val="24"/>
          <w:szCs w:val="24"/>
        </w:rPr>
        <w:t xml:space="preserve"> </w:t>
      </w:r>
    </w:p>
    <w:p w:rsidR="001F726F" w:rsidRPr="0060351D" w:rsidRDefault="001F726F" w:rsidP="001F726F">
      <w:pPr>
        <w:pStyle w:val="Heading1"/>
      </w:pPr>
      <w:r w:rsidRPr="0060351D">
        <w:rPr>
          <w:lang w:val="en-US"/>
        </w:rPr>
        <w:lastRenderedPageBreak/>
        <w:t>Western Australian economy and lab</w:t>
      </w:r>
      <w:r w:rsidRPr="0060351D">
        <w:t>our market</w:t>
      </w:r>
    </w:p>
    <w:p w:rsidR="001F726F"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1868B0">
        <w:rPr>
          <w:rFonts w:ascii="Arial" w:eastAsia="Times New Roman" w:hAnsi="Arial" w:cs="Arial"/>
          <w:sz w:val="24"/>
          <w:szCs w:val="24"/>
          <w:lang w:val="en-US"/>
        </w:rPr>
        <w:t xml:space="preserve">While the Act requires that the Panel consider the state of the national economy in its AWR deliberations, the national economy itself is comprised of many geographic regions and associated labour markets, and it is appropriate </w:t>
      </w:r>
      <w:r w:rsidR="00405103">
        <w:rPr>
          <w:rFonts w:ascii="Arial" w:eastAsia="Times New Roman" w:hAnsi="Arial" w:cs="Arial"/>
          <w:sz w:val="24"/>
          <w:szCs w:val="24"/>
          <w:lang w:val="en-US"/>
        </w:rPr>
        <w:t xml:space="preserve">that </w:t>
      </w:r>
      <w:r w:rsidRPr="001868B0">
        <w:rPr>
          <w:rFonts w:ascii="Arial" w:eastAsia="Times New Roman" w:hAnsi="Arial" w:cs="Arial"/>
          <w:sz w:val="24"/>
          <w:szCs w:val="24"/>
          <w:lang w:val="en-US"/>
        </w:rPr>
        <w:t xml:space="preserve">consideration be given to prevailing conditions in </w:t>
      </w:r>
      <w:r w:rsidR="001F5F62">
        <w:rPr>
          <w:rFonts w:ascii="Arial" w:eastAsia="Times New Roman" w:hAnsi="Arial" w:cs="Arial"/>
          <w:sz w:val="24"/>
          <w:szCs w:val="24"/>
          <w:lang w:val="en-US"/>
        </w:rPr>
        <w:t xml:space="preserve">individual </w:t>
      </w:r>
      <w:r w:rsidRPr="001868B0">
        <w:rPr>
          <w:rFonts w:ascii="Arial" w:eastAsia="Times New Roman" w:hAnsi="Arial" w:cs="Arial"/>
          <w:sz w:val="24"/>
          <w:szCs w:val="24"/>
          <w:lang w:val="en-US"/>
        </w:rPr>
        <w:t>States and Territories.</w:t>
      </w:r>
    </w:p>
    <w:p w:rsidR="001F726F" w:rsidRPr="001868B0"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1868B0">
        <w:rPr>
          <w:rFonts w:ascii="Arial" w:eastAsia="Times New Roman" w:hAnsi="Arial" w:cs="Arial"/>
          <w:sz w:val="24"/>
          <w:szCs w:val="24"/>
          <w:lang w:val="en-US"/>
        </w:rPr>
        <w:t>The Western Australian Department of Treasury (</w:t>
      </w:r>
      <w:r w:rsidRPr="001868B0">
        <w:rPr>
          <w:rFonts w:ascii="Arial" w:eastAsia="Times New Roman" w:hAnsi="Arial" w:cs="Arial"/>
          <w:b/>
          <w:sz w:val="24"/>
          <w:szCs w:val="24"/>
          <w:lang w:val="en-US"/>
        </w:rPr>
        <w:t>WA Treasury</w:t>
      </w:r>
      <w:r w:rsidRPr="001868B0">
        <w:rPr>
          <w:rFonts w:ascii="Arial" w:eastAsia="Times New Roman" w:hAnsi="Arial" w:cs="Arial"/>
          <w:sz w:val="24"/>
          <w:szCs w:val="24"/>
          <w:lang w:val="en-US"/>
        </w:rPr>
        <w:t xml:space="preserve">) has provided an overview of the State’s economy, which is included at </w:t>
      </w:r>
      <w:r w:rsidRPr="001868B0">
        <w:rPr>
          <w:rFonts w:ascii="Arial" w:eastAsia="Times New Roman" w:hAnsi="Arial" w:cs="Arial"/>
          <w:b/>
          <w:sz w:val="24"/>
          <w:szCs w:val="24"/>
          <w:lang w:val="en-US"/>
        </w:rPr>
        <w:t>Attachment A</w:t>
      </w:r>
      <w:r w:rsidRPr="001868B0">
        <w:rPr>
          <w:rFonts w:ascii="Arial" w:eastAsia="Times New Roman" w:hAnsi="Arial" w:cs="Arial"/>
          <w:sz w:val="24"/>
          <w:szCs w:val="24"/>
          <w:lang w:val="en-US"/>
        </w:rPr>
        <w:t>. The overview provides detailed information on economic developments and labour market trends.</w:t>
      </w:r>
    </w:p>
    <w:p w:rsidR="00167BA7" w:rsidRPr="00167BA7" w:rsidRDefault="001F726F" w:rsidP="00167BA7">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60351D">
        <w:rPr>
          <w:rFonts w:ascii="Arial" w:eastAsia="Times New Roman" w:hAnsi="Arial" w:cs="Arial"/>
          <w:bCs/>
          <w:sz w:val="24"/>
          <w:szCs w:val="24"/>
        </w:rPr>
        <w:t xml:space="preserve">Economic conditions in Western Australia </w:t>
      </w:r>
      <w:r w:rsidR="00B20121">
        <w:rPr>
          <w:rFonts w:ascii="Arial" w:eastAsia="Times New Roman" w:hAnsi="Arial" w:cs="Arial"/>
          <w:bCs/>
          <w:sz w:val="24"/>
          <w:szCs w:val="24"/>
        </w:rPr>
        <w:t>continue to gradually improve</w:t>
      </w:r>
      <w:r w:rsidRPr="0060351D">
        <w:rPr>
          <w:rFonts w:ascii="Arial" w:eastAsia="Times New Roman" w:hAnsi="Arial" w:cs="Arial"/>
          <w:bCs/>
          <w:sz w:val="24"/>
          <w:szCs w:val="24"/>
        </w:rPr>
        <w:t>, as evidenced by a variety of indicators. Total State output, measured by Gross State Product</w:t>
      </w:r>
      <w:r w:rsidR="003E2EB4">
        <w:rPr>
          <w:rFonts w:ascii="Arial" w:eastAsia="Times New Roman" w:hAnsi="Arial" w:cs="Arial"/>
          <w:bCs/>
          <w:sz w:val="24"/>
          <w:szCs w:val="24"/>
        </w:rPr>
        <w:t xml:space="preserve"> (</w:t>
      </w:r>
      <w:r w:rsidR="003E2EB4" w:rsidRPr="00DC263C">
        <w:rPr>
          <w:rFonts w:ascii="Arial" w:eastAsia="Times New Roman" w:hAnsi="Arial" w:cs="Arial"/>
          <w:b/>
          <w:bCs/>
          <w:sz w:val="24"/>
          <w:szCs w:val="24"/>
        </w:rPr>
        <w:t>GSP</w:t>
      </w:r>
      <w:r w:rsidR="003E2EB4">
        <w:rPr>
          <w:rFonts w:ascii="Arial" w:eastAsia="Times New Roman" w:hAnsi="Arial" w:cs="Arial"/>
          <w:bCs/>
          <w:sz w:val="24"/>
          <w:szCs w:val="24"/>
        </w:rPr>
        <w:t>)</w:t>
      </w:r>
      <w:r w:rsidRPr="0060351D">
        <w:rPr>
          <w:rFonts w:ascii="Arial" w:eastAsia="Times New Roman" w:hAnsi="Arial" w:cs="Arial"/>
          <w:bCs/>
          <w:sz w:val="24"/>
          <w:szCs w:val="24"/>
        </w:rPr>
        <w:t xml:space="preserve">, is expected to </w:t>
      </w:r>
      <w:r w:rsidR="00B20121">
        <w:rPr>
          <w:rFonts w:ascii="Arial" w:eastAsia="Times New Roman" w:hAnsi="Arial" w:cs="Arial"/>
          <w:bCs/>
          <w:sz w:val="24"/>
          <w:szCs w:val="24"/>
        </w:rPr>
        <w:t xml:space="preserve">increase by 3.0 per cent </w:t>
      </w:r>
      <w:r w:rsidRPr="0060351D">
        <w:rPr>
          <w:rFonts w:ascii="Arial" w:eastAsia="Times New Roman" w:hAnsi="Arial" w:cs="Arial"/>
          <w:bCs/>
          <w:sz w:val="24"/>
          <w:szCs w:val="24"/>
        </w:rPr>
        <w:t>in 201</w:t>
      </w:r>
      <w:r w:rsidR="00B20121">
        <w:rPr>
          <w:rFonts w:ascii="Arial" w:eastAsia="Times New Roman" w:hAnsi="Arial" w:cs="Arial"/>
          <w:bCs/>
          <w:sz w:val="24"/>
          <w:szCs w:val="24"/>
        </w:rPr>
        <w:t>8</w:t>
      </w:r>
      <w:r w:rsidRPr="0060351D">
        <w:rPr>
          <w:rFonts w:ascii="Arial" w:eastAsia="Times New Roman" w:hAnsi="Arial" w:cs="Arial"/>
          <w:bCs/>
          <w:sz w:val="24"/>
          <w:szCs w:val="24"/>
        </w:rPr>
        <w:t>-1</w:t>
      </w:r>
      <w:r w:rsidR="00B20121">
        <w:rPr>
          <w:rFonts w:ascii="Arial" w:eastAsia="Times New Roman" w:hAnsi="Arial" w:cs="Arial"/>
          <w:bCs/>
          <w:sz w:val="24"/>
          <w:szCs w:val="24"/>
        </w:rPr>
        <w:t>9, up from 1.9</w:t>
      </w:r>
      <w:r w:rsidR="000F1E93">
        <w:rPr>
          <w:rFonts w:ascii="Arial" w:eastAsia="Times New Roman" w:hAnsi="Arial" w:cs="Arial"/>
          <w:bCs/>
          <w:sz w:val="24"/>
          <w:szCs w:val="24"/>
        </w:rPr>
        <w:t> </w:t>
      </w:r>
      <w:r w:rsidR="00B20121">
        <w:rPr>
          <w:rFonts w:ascii="Arial" w:eastAsia="Times New Roman" w:hAnsi="Arial" w:cs="Arial"/>
          <w:bCs/>
          <w:sz w:val="24"/>
          <w:szCs w:val="24"/>
        </w:rPr>
        <w:t>per</w:t>
      </w:r>
      <w:r w:rsidR="000F1E93">
        <w:rPr>
          <w:rFonts w:ascii="Arial" w:eastAsia="Times New Roman" w:hAnsi="Arial" w:cs="Arial"/>
          <w:bCs/>
          <w:sz w:val="24"/>
          <w:szCs w:val="24"/>
        </w:rPr>
        <w:t> </w:t>
      </w:r>
      <w:r w:rsidR="00B20121">
        <w:rPr>
          <w:rFonts w:ascii="Arial" w:eastAsia="Times New Roman" w:hAnsi="Arial" w:cs="Arial"/>
          <w:bCs/>
          <w:sz w:val="24"/>
          <w:szCs w:val="24"/>
        </w:rPr>
        <w:t xml:space="preserve">cent in 2017-18. GSP is expected to grow by </w:t>
      </w:r>
      <w:r w:rsidR="001F5F62">
        <w:rPr>
          <w:rFonts w:ascii="Arial" w:eastAsia="Times New Roman" w:hAnsi="Arial" w:cs="Arial"/>
          <w:bCs/>
          <w:sz w:val="24"/>
          <w:szCs w:val="24"/>
        </w:rPr>
        <w:t xml:space="preserve">a further </w:t>
      </w:r>
      <w:r w:rsidR="00B20121">
        <w:rPr>
          <w:rFonts w:ascii="Arial" w:eastAsia="Times New Roman" w:hAnsi="Arial" w:cs="Arial"/>
          <w:bCs/>
          <w:sz w:val="24"/>
          <w:szCs w:val="24"/>
        </w:rPr>
        <w:t xml:space="preserve">3.5 per cent in </w:t>
      </w:r>
      <w:r w:rsidR="000F1E93">
        <w:rPr>
          <w:rFonts w:ascii="Arial" w:eastAsia="Times New Roman" w:hAnsi="Arial" w:cs="Arial"/>
          <w:bCs/>
          <w:sz w:val="24"/>
          <w:szCs w:val="24"/>
        </w:rPr>
        <w:t xml:space="preserve">         </w:t>
      </w:r>
      <w:r w:rsidR="00B20121">
        <w:rPr>
          <w:rFonts w:ascii="Arial" w:eastAsia="Times New Roman" w:hAnsi="Arial" w:cs="Arial"/>
          <w:bCs/>
          <w:sz w:val="24"/>
          <w:szCs w:val="24"/>
        </w:rPr>
        <w:t>2019-20.</w:t>
      </w:r>
      <w:r w:rsidR="00B20121" w:rsidRPr="00B20121">
        <w:rPr>
          <w:rStyle w:val="FootnoteReference"/>
          <w:sz w:val="24"/>
          <w:szCs w:val="24"/>
        </w:rPr>
        <w:t xml:space="preserve"> </w:t>
      </w:r>
      <w:r w:rsidR="00B20121" w:rsidRPr="00AC5C0C">
        <w:rPr>
          <w:rStyle w:val="FootnoteReference"/>
          <w:sz w:val="24"/>
          <w:szCs w:val="24"/>
        </w:rPr>
        <w:footnoteReference w:id="5"/>
      </w:r>
      <w:r w:rsidR="00B20121" w:rsidRPr="00B20121">
        <w:rPr>
          <w:sz w:val="24"/>
          <w:szCs w:val="24"/>
        </w:rPr>
        <w:t xml:space="preserve"> </w:t>
      </w:r>
      <w:r w:rsidR="00B20121">
        <w:rPr>
          <w:rFonts w:ascii="Arial" w:eastAsia="Times New Roman" w:hAnsi="Arial" w:cs="Arial"/>
          <w:bCs/>
          <w:sz w:val="24"/>
          <w:szCs w:val="24"/>
        </w:rPr>
        <w:t xml:space="preserve"> </w:t>
      </w:r>
    </w:p>
    <w:p w:rsidR="00B20121" w:rsidRPr="00167BA7" w:rsidRDefault="00B20121" w:rsidP="00167BA7">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167BA7">
        <w:rPr>
          <w:sz w:val="24"/>
          <w:szCs w:val="24"/>
        </w:rPr>
        <w:t xml:space="preserve">A number of other indicators point to improving conditions, including an increased labour force participation rate, a lift in internet job vacancies, and improving business confidence. </w:t>
      </w:r>
    </w:p>
    <w:p w:rsidR="003E2EB4" w:rsidRPr="00B41DD7" w:rsidRDefault="003E2EB4" w:rsidP="00B27B6B">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B41DD7">
        <w:rPr>
          <w:sz w:val="24"/>
          <w:szCs w:val="24"/>
        </w:rPr>
        <w:t xml:space="preserve">A return to growth in </w:t>
      </w:r>
      <w:r w:rsidR="00C02132" w:rsidRPr="00B41DD7">
        <w:rPr>
          <w:sz w:val="24"/>
          <w:szCs w:val="24"/>
        </w:rPr>
        <w:t>GSP</w:t>
      </w:r>
      <w:r w:rsidRPr="00B41DD7">
        <w:rPr>
          <w:sz w:val="24"/>
          <w:szCs w:val="24"/>
        </w:rPr>
        <w:t xml:space="preserve"> in 2017-18 was coupled with an expansion in the domestic economy, measured by State Final Demand (</w:t>
      </w:r>
      <w:r w:rsidRPr="00DC263C">
        <w:rPr>
          <w:b/>
          <w:sz w:val="24"/>
          <w:szCs w:val="24"/>
        </w:rPr>
        <w:t>SFD</w:t>
      </w:r>
      <w:r w:rsidRPr="00B41DD7">
        <w:rPr>
          <w:sz w:val="24"/>
          <w:szCs w:val="24"/>
        </w:rPr>
        <w:t>), for the first time since 2012-13. Growth in SFD was largely the result of the timing of investment on a number of LNG projects which helped sustain business investment at 2016-17 levels.</w:t>
      </w:r>
      <w:r w:rsidRPr="00911E66">
        <w:rPr>
          <w:rStyle w:val="FootnoteReference"/>
          <w:sz w:val="24"/>
          <w:szCs w:val="24"/>
        </w:rPr>
        <w:footnoteReference w:id="6"/>
      </w:r>
      <w:r w:rsidRPr="00B41DD7">
        <w:rPr>
          <w:sz w:val="24"/>
          <w:szCs w:val="24"/>
        </w:rPr>
        <w:t xml:space="preserve"> SFD is expected to decline marginally in 2018-19, as a result of a fall in business investment due to the completion of work on major LNG projects. However, SFD is expected to rebound strongly in 2019-20, with growth of 3.5 per cent forecast for 2019-20.</w:t>
      </w:r>
    </w:p>
    <w:p w:rsidR="003E2EB4" w:rsidRPr="004A2E29" w:rsidRDefault="001F726F" w:rsidP="00817A98">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4A2E29">
        <w:rPr>
          <w:rFonts w:ascii="Arial" w:eastAsia="Times New Roman" w:hAnsi="Arial" w:cs="Arial"/>
          <w:bCs/>
          <w:sz w:val="24"/>
          <w:szCs w:val="24"/>
        </w:rPr>
        <w:t xml:space="preserve">Western Australia’s unemployment rate averaged </w:t>
      </w:r>
      <w:r w:rsidR="00167BA7" w:rsidRPr="004A2E29">
        <w:rPr>
          <w:rFonts w:ascii="Arial" w:eastAsia="Times New Roman" w:hAnsi="Arial" w:cs="Arial"/>
          <w:bCs/>
          <w:sz w:val="24"/>
          <w:szCs w:val="24"/>
        </w:rPr>
        <w:t>6</w:t>
      </w:r>
      <w:r w:rsidRPr="004A2E29">
        <w:rPr>
          <w:rFonts w:ascii="Arial" w:eastAsia="Times New Roman" w:hAnsi="Arial" w:cs="Arial"/>
          <w:bCs/>
          <w:sz w:val="24"/>
          <w:szCs w:val="24"/>
        </w:rPr>
        <w:t>.</w:t>
      </w:r>
      <w:r w:rsidR="004A2E29" w:rsidRPr="004A2E29">
        <w:rPr>
          <w:rFonts w:ascii="Arial" w:eastAsia="Times New Roman" w:hAnsi="Arial" w:cs="Arial"/>
          <w:bCs/>
          <w:sz w:val="24"/>
          <w:szCs w:val="24"/>
        </w:rPr>
        <w:t>3</w:t>
      </w:r>
      <w:r w:rsidRPr="004A2E29">
        <w:rPr>
          <w:rFonts w:ascii="Arial" w:eastAsia="Times New Roman" w:hAnsi="Arial" w:cs="Arial"/>
          <w:bCs/>
          <w:sz w:val="24"/>
          <w:szCs w:val="24"/>
        </w:rPr>
        <w:t xml:space="preserve"> per</w:t>
      </w:r>
      <w:r w:rsidR="000F1E93">
        <w:rPr>
          <w:rFonts w:ascii="Arial" w:eastAsia="Times New Roman" w:hAnsi="Arial" w:cs="Arial"/>
          <w:bCs/>
          <w:sz w:val="24"/>
          <w:szCs w:val="24"/>
        </w:rPr>
        <w:t xml:space="preserve"> </w:t>
      </w:r>
      <w:r w:rsidRPr="004A2E29">
        <w:rPr>
          <w:rFonts w:ascii="Arial" w:eastAsia="Times New Roman" w:hAnsi="Arial" w:cs="Arial"/>
          <w:bCs/>
          <w:sz w:val="24"/>
          <w:szCs w:val="24"/>
        </w:rPr>
        <w:t xml:space="preserve">cent in </w:t>
      </w:r>
      <w:r w:rsidR="004A2E29" w:rsidRPr="004A2E29">
        <w:rPr>
          <w:rFonts w:ascii="Arial" w:eastAsia="Times New Roman" w:hAnsi="Arial" w:cs="Arial"/>
          <w:bCs/>
          <w:sz w:val="24"/>
          <w:szCs w:val="24"/>
        </w:rPr>
        <w:t>the year to January</w:t>
      </w:r>
      <w:r w:rsidR="00B06462">
        <w:rPr>
          <w:rFonts w:ascii="Arial" w:eastAsia="Times New Roman" w:hAnsi="Arial" w:cs="Arial"/>
          <w:bCs/>
          <w:sz w:val="24"/>
          <w:szCs w:val="24"/>
        </w:rPr>
        <w:t> </w:t>
      </w:r>
      <w:r w:rsidRPr="004A2E29">
        <w:rPr>
          <w:rFonts w:ascii="Arial" w:eastAsia="Times New Roman" w:hAnsi="Arial" w:cs="Arial"/>
          <w:bCs/>
          <w:sz w:val="24"/>
          <w:szCs w:val="24"/>
        </w:rPr>
        <w:t>201</w:t>
      </w:r>
      <w:r w:rsidR="004A2E29" w:rsidRPr="004A2E29">
        <w:rPr>
          <w:rFonts w:ascii="Arial" w:eastAsia="Times New Roman" w:hAnsi="Arial" w:cs="Arial"/>
          <w:bCs/>
          <w:sz w:val="24"/>
          <w:szCs w:val="24"/>
        </w:rPr>
        <w:t>9</w:t>
      </w:r>
      <w:r w:rsidRPr="004A2E29">
        <w:rPr>
          <w:rFonts w:ascii="Arial" w:eastAsia="Times New Roman" w:hAnsi="Arial" w:cs="Arial"/>
          <w:bCs/>
          <w:sz w:val="24"/>
          <w:szCs w:val="24"/>
        </w:rPr>
        <w:t xml:space="preserve">, </w:t>
      </w:r>
      <w:r w:rsidR="00167BA7" w:rsidRPr="004A2E29">
        <w:rPr>
          <w:rFonts w:ascii="Arial" w:eastAsia="Times New Roman" w:hAnsi="Arial" w:cs="Arial"/>
          <w:bCs/>
          <w:sz w:val="24"/>
          <w:szCs w:val="24"/>
        </w:rPr>
        <w:t>up from</w:t>
      </w:r>
      <w:r w:rsidRPr="004A2E29">
        <w:rPr>
          <w:rFonts w:ascii="Arial" w:eastAsia="Times New Roman" w:hAnsi="Arial" w:cs="Arial"/>
          <w:bCs/>
          <w:sz w:val="24"/>
          <w:szCs w:val="24"/>
        </w:rPr>
        <w:t xml:space="preserve"> an average of </w:t>
      </w:r>
      <w:r w:rsidR="00167BA7" w:rsidRPr="004A2E29">
        <w:rPr>
          <w:rFonts w:ascii="Arial" w:eastAsia="Times New Roman" w:hAnsi="Arial" w:cs="Arial"/>
          <w:bCs/>
          <w:sz w:val="24"/>
          <w:szCs w:val="24"/>
        </w:rPr>
        <w:t>5</w:t>
      </w:r>
      <w:r w:rsidRPr="004A2E29">
        <w:rPr>
          <w:rFonts w:ascii="Arial" w:eastAsia="Times New Roman" w:hAnsi="Arial" w:cs="Arial"/>
          <w:bCs/>
          <w:sz w:val="24"/>
          <w:szCs w:val="24"/>
        </w:rPr>
        <w:t>.</w:t>
      </w:r>
      <w:r w:rsidR="00167BA7" w:rsidRPr="004A2E29">
        <w:rPr>
          <w:rFonts w:ascii="Arial" w:eastAsia="Times New Roman" w:hAnsi="Arial" w:cs="Arial"/>
          <w:bCs/>
          <w:sz w:val="24"/>
          <w:szCs w:val="24"/>
        </w:rPr>
        <w:t>9</w:t>
      </w:r>
      <w:r w:rsidRPr="004A2E29">
        <w:rPr>
          <w:rFonts w:ascii="Arial" w:eastAsia="Times New Roman" w:hAnsi="Arial" w:cs="Arial"/>
          <w:bCs/>
          <w:sz w:val="24"/>
          <w:szCs w:val="24"/>
        </w:rPr>
        <w:t xml:space="preserve"> per</w:t>
      </w:r>
      <w:r w:rsidR="000F1E93">
        <w:rPr>
          <w:rFonts w:ascii="Arial" w:eastAsia="Times New Roman" w:hAnsi="Arial" w:cs="Arial"/>
          <w:bCs/>
          <w:sz w:val="24"/>
          <w:szCs w:val="24"/>
        </w:rPr>
        <w:t xml:space="preserve"> </w:t>
      </w:r>
      <w:r w:rsidRPr="004A2E29">
        <w:rPr>
          <w:rFonts w:ascii="Arial" w:eastAsia="Times New Roman" w:hAnsi="Arial" w:cs="Arial"/>
          <w:bCs/>
          <w:sz w:val="24"/>
          <w:szCs w:val="24"/>
        </w:rPr>
        <w:t xml:space="preserve">cent in </w:t>
      </w:r>
      <w:r w:rsidR="004A2E29" w:rsidRPr="004A2E29">
        <w:rPr>
          <w:rFonts w:ascii="Arial" w:eastAsia="Times New Roman" w:hAnsi="Arial" w:cs="Arial"/>
          <w:bCs/>
          <w:sz w:val="24"/>
          <w:szCs w:val="24"/>
        </w:rPr>
        <w:t>the year to January 2018</w:t>
      </w:r>
      <w:r w:rsidRPr="004A2E29">
        <w:rPr>
          <w:rFonts w:ascii="Arial" w:eastAsia="Times New Roman" w:hAnsi="Arial" w:cs="Arial"/>
          <w:bCs/>
          <w:sz w:val="24"/>
          <w:szCs w:val="24"/>
        </w:rPr>
        <w:t>.</w:t>
      </w:r>
      <w:r w:rsidRPr="00883DC4">
        <w:rPr>
          <w:rFonts w:ascii="Arial" w:hAnsi="Arial" w:cs="Arial"/>
          <w:sz w:val="24"/>
          <w:szCs w:val="24"/>
          <w:vertAlign w:val="superscript"/>
        </w:rPr>
        <w:footnoteReference w:id="7"/>
      </w:r>
      <w:r w:rsidRPr="004A2E29">
        <w:rPr>
          <w:rFonts w:ascii="Arial" w:eastAsia="Times New Roman" w:hAnsi="Arial" w:cs="Arial"/>
          <w:bCs/>
          <w:sz w:val="24"/>
          <w:szCs w:val="24"/>
          <w:vertAlign w:val="superscript"/>
        </w:rPr>
        <w:t xml:space="preserve"> </w:t>
      </w:r>
      <w:r w:rsidR="00DB033C" w:rsidRPr="004A2E29">
        <w:rPr>
          <w:rFonts w:ascii="Arial" w:eastAsia="Times New Roman" w:hAnsi="Arial" w:cs="Arial"/>
          <w:bCs/>
          <w:sz w:val="24"/>
          <w:szCs w:val="24"/>
        </w:rPr>
        <w:t xml:space="preserve">The higher unemployment rate is partly the result of a </w:t>
      </w:r>
      <w:r w:rsidR="00B210D3" w:rsidRPr="004A2E29">
        <w:rPr>
          <w:rFonts w:ascii="Arial" w:eastAsia="Times New Roman" w:hAnsi="Arial" w:cs="Arial"/>
          <w:bCs/>
          <w:sz w:val="24"/>
          <w:szCs w:val="24"/>
        </w:rPr>
        <w:t>significant increase in the labour force participation rate</w:t>
      </w:r>
      <w:r w:rsidR="004A2E29">
        <w:rPr>
          <w:rFonts w:ascii="Arial" w:eastAsia="Times New Roman" w:hAnsi="Arial" w:cs="Arial"/>
          <w:bCs/>
          <w:sz w:val="24"/>
          <w:szCs w:val="24"/>
        </w:rPr>
        <w:t>, which remains the highest of all States</w:t>
      </w:r>
      <w:r w:rsidR="00756CED">
        <w:rPr>
          <w:rFonts w:ascii="Arial" w:eastAsia="Times New Roman" w:hAnsi="Arial" w:cs="Arial"/>
          <w:bCs/>
          <w:sz w:val="24"/>
          <w:szCs w:val="24"/>
        </w:rPr>
        <w:t xml:space="preserve"> by a considerable margin</w:t>
      </w:r>
      <w:r w:rsidR="00B210D3" w:rsidRPr="004A2E29">
        <w:rPr>
          <w:rFonts w:ascii="Arial" w:eastAsia="Times New Roman" w:hAnsi="Arial" w:cs="Arial"/>
          <w:bCs/>
          <w:sz w:val="24"/>
          <w:szCs w:val="24"/>
        </w:rPr>
        <w:t xml:space="preserve">. </w:t>
      </w:r>
      <w:r w:rsidR="003E2EB4" w:rsidRPr="004A2E29">
        <w:rPr>
          <w:rFonts w:ascii="Arial" w:eastAsia="Times New Roman" w:hAnsi="Arial" w:cs="Arial"/>
          <w:sz w:val="24"/>
          <w:szCs w:val="24"/>
          <w:lang w:val="en-US"/>
        </w:rPr>
        <w:t>Western Australia’s seasonally adjusted participation rate averaged 68.5</w:t>
      </w:r>
      <w:r w:rsidR="00B06462">
        <w:rPr>
          <w:rFonts w:ascii="Arial" w:eastAsia="Times New Roman" w:hAnsi="Arial" w:cs="Arial"/>
          <w:sz w:val="24"/>
          <w:szCs w:val="24"/>
          <w:lang w:val="en-US"/>
        </w:rPr>
        <w:t> </w:t>
      </w:r>
      <w:r w:rsidR="003E2EB4" w:rsidRPr="004A2E29">
        <w:rPr>
          <w:rFonts w:ascii="Arial" w:eastAsia="Times New Roman" w:hAnsi="Arial" w:cs="Arial"/>
          <w:sz w:val="24"/>
          <w:szCs w:val="24"/>
          <w:lang w:val="en-US"/>
        </w:rPr>
        <w:t>per</w:t>
      </w:r>
      <w:r w:rsidR="00B06462">
        <w:rPr>
          <w:rFonts w:ascii="Arial" w:eastAsia="Times New Roman" w:hAnsi="Arial" w:cs="Arial"/>
          <w:sz w:val="24"/>
          <w:szCs w:val="24"/>
          <w:lang w:val="en-US"/>
        </w:rPr>
        <w:t> </w:t>
      </w:r>
      <w:r w:rsidR="003E2EB4" w:rsidRPr="004A2E29">
        <w:rPr>
          <w:rFonts w:ascii="Arial" w:eastAsia="Times New Roman" w:hAnsi="Arial" w:cs="Arial"/>
          <w:sz w:val="24"/>
          <w:szCs w:val="24"/>
          <w:lang w:val="en-US"/>
        </w:rPr>
        <w:t xml:space="preserve">cent over </w:t>
      </w:r>
      <w:r w:rsidR="004A2E29">
        <w:rPr>
          <w:rFonts w:ascii="Arial" w:eastAsia="Times New Roman" w:hAnsi="Arial" w:cs="Arial"/>
          <w:sz w:val="24"/>
          <w:szCs w:val="24"/>
          <w:lang w:val="en-US"/>
        </w:rPr>
        <w:t xml:space="preserve">the year to January </w:t>
      </w:r>
      <w:r w:rsidR="003E2EB4" w:rsidRPr="004A2E29">
        <w:rPr>
          <w:rFonts w:ascii="Arial" w:eastAsia="Times New Roman" w:hAnsi="Arial" w:cs="Arial"/>
          <w:sz w:val="24"/>
          <w:szCs w:val="24"/>
          <w:lang w:val="en-US"/>
        </w:rPr>
        <w:t>201</w:t>
      </w:r>
      <w:r w:rsidR="004A2E29">
        <w:rPr>
          <w:rFonts w:ascii="Arial" w:eastAsia="Times New Roman" w:hAnsi="Arial" w:cs="Arial"/>
          <w:sz w:val="24"/>
          <w:szCs w:val="24"/>
          <w:lang w:val="en-US"/>
        </w:rPr>
        <w:t>9</w:t>
      </w:r>
      <w:r w:rsidR="003E2EB4" w:rsidRPr="004A2E29">
        <w:rPr>
          <w:rFonts w:ascii="Arial" w:eastAsia="Times New Roman" w:hAnsi="Arial" w:cs="Arial"/>
          <w:sz w:val="24"/>
          <w:szCs w:val="24"/>
          <w:lang w:val="en-US"/>
        </w:rPr>
        <w:t xml:space="preserve">, up from 67.8 per cent over the </w:t>
      </w:r>
      <w:r w:rsidR="004A2E29">
        <w:rPr>
          <w:rFonts w:ascii="Arial" w:eastAsia="Times New Roman" w:hAnsi="Arial" w:cs="Arial"/>
          <w:sz w:val="24"/>
          <w:szCs w:val="24"/>
          <w:lang w:val="en-US"/>
        </w:rPr>
        <w:t xml:space="preserve">year to January </w:t>
      </w:r>
      <w:r w:rsidR="003E2EB4" w:rsidRPr="004A2E29">
        <w:rPr>
          <w:rFonts w:ascii="Arial" w:eastAsia="Times New Roman" w:hAnsi="Arial" w:cs="Arial"/>
          <w:sz w:val="24"/>
          <w:szCs w:val="24"/>
          <w:lang w:val="en-US"/>
        </w:rPr>
        <w:t>201</w:t>
      </w:r>
      <w:r w:rsidR="004A2E29">
        <w:rPr>
          <w:rFonts w:ascii="Arial" w:eastAsia="Times New Roman" w:hAnsi="Arial" w:cs="Arial"/>
          <w:sz w:val="24"/>
          <w:szCs w:val="24"/>
          <w:lang w:val="en-US"/>
        </w:rPr>
        <w:t>8</w:t>
      </w:r>
      <w:r w:rsidR="003E2EB4" w:rsidRPr="004A2E29">
        <w:rPr>
          <w:rFonts w:ascii="Arial" w:eastAsia="Times New Roman" w:hAnsi="Arial" w:cs="Arial"/>
          <w:sz w:val="24"/>
          <w:szCs w:val="24"/>
          <w:lang w:val="en-US"/>
        </w:rPr>
        <w:t>.</w:t>
      </w:r>
      <w:r w:rsidR="00DB033C">
        <w:rPr>
          <w:rStyle w:val="FootnoteReference"/>
          <w:rFonts w:ascii="Arial" w:eastAsia="Times New Roman" w:hAnsi="Arial" w:cs="Arial"/>
          <w:sz w:val="24"/>
          <w:szCs w:val="24"/>
          <w:lang w:val="en-US"/>
        </w:rPr>
        <w:footnoteReference w:id="8"/>
      </w:r>
      <w:r w:rsidR="004A2E29" w:rsidRPr="004A2E29">
        <w:rPr>
          <w:rFonts w:ascii="Arial" w:eastAsia="Times New Roman" w:hAnsi="Arial" w:cs="Arial"/>
          <w:sz w:val="24"/>
          <w:szCs w:val="24"/>
          <w:lang w:val="en-US"/>
        </w:rPr>
        <w:t xml:space="preserve"> </w:t>
      </w:r>
    </w:p>
    <w:p w:rsidR="000F1E93" w:rsidRDefault="000F1E93">
      <w:pPr>
        <w:rPr>
          <w:rFonts w:ascii="Arial" w:eastAsia="Times New Roman" w:hAnsi="Arial" w:cs="Arial"/>
          <w:bCs/>
          <w:sz w:val="24"/>
          <w:szCs w:val="24"/>
        </w:rPr>
      </w:pPr>
      <w:r>
        <w:rPr>
          <w:rFonts w:ascii="Arial" w:eastAsia="Times New Roman" w:hAnsi="Arial" w:cs="Arial"/>
          <w:bCs/>
          <w:sz w:val="24"/>
          <w:szCs w:val="24"/>
        </w:rPr>
        <w:br w:type="page"/>
      </w:r>
    </w:p>
    <w:p w:rsidR="00C02132" w:rsidRPr="00756CED" w:rsidRDefault="001F726F" w:rsidP="00386737">
      <w:pPr>
        <w:pStyle w:val="ListParagraph"/>
        <w:numPr>
          <w:ilvl w:val="0"/>
          <w:numId w:val="25"/>
        </w:numPr>
        <w:spacing w:after="240" w:line="240" w:lineRule="auto"/>
        <w:ind w:left="567" w:hanging="567"/>
        <w:contextualSpacing w:val="0"/>
        <w:jc w:val="both"/>
        <w:rPr>
          <w:rFonts w:ascii="Arial" w:hAnsi="Arial" w:cs="Arial"/>
          <w:sz w:val="24"/>
          <w:szCs w:val="24"/>
        </w:rPr>
      </w:pPr>
      <w:r w:rsidRPr="00756CED">
        <w:rPr>
          <w:rFonts w:ascii="Arial" w:eastAsia="Times New Roman" w:hAnsi="Arial" w:cs="Arial"/>
          <w:bCs/>
          <w:sz w:val="24"/>
          <w:szCs w:val="24"/>
        </w:rPr>
        <w:lastRenderedPageBreak/>
        <w:t>The Wage Price Index (</w:t>
      </w:r>
      <w:r w:rsidRPr="00756CED">
        <w:rPr>
          <w:rFonts w:ascii="Arial" w:eastAsia="Times New Roman" w:hAnsi="Arial" w:cs="Arial"/>
          <w:b/>
          <w:bCs/>
          <w:sz w:val="24"/>
          <w:szCs w:val="24"/>
        </w:rPr>
        <w:t>WPI</w:t>
      </w:r>
      <w:r w:rsidRPr="00756CED">
        <w:rPr>
          <w:rFonts w:ascii="Arial" w:eastAsia="Times New Roman" w:hAnsi="Arial" w:cs="Arial"/>
          <w:bCs/>
          <w:sz w:val="24"/>
          <w:szCs w:val="24"/>
        </w:rPr>
        <w:t>) for Western Australia increased by 1.</w:t>
      </w:r>
      <w:r w:rsidR="00756CED" w:rsidRPr="00756CED">
        <w:rPr>
          <w:rFonts w:ascii="Arial" w:eastAsia="Times New Roman" w:hAnsi="Arial" w:cs="Arial"/>
          <w:bCs/>
          <w:sz w:val="24"/>
          <w:szCs w:val="24"/>
        </w:rPr>
        <w:t>5</w:t>
      </w:r>
      <w:r w:rsidRPr="00756CED">
        <w:rPr>
          <w:rFonts w:ascii="Arial" w:eastAsia="Times New Roman" w:hAnsi="Arial" w:cs="Arial"/>
          <w:bCs/>
          <w:sz w:val="24"/>
          <w:szCs w:val="24"/>
        </w:rPr>
        <w:t xml:space="preserve"> per cent in the year to December 201</w:t>
      </w:r>
      <w:r w:rsidR="00756CED" w:rsidRPr="00756CED">
        <w:rPr>
          <w:rFonts w:ascii="Arial" w:eastAsia="Times New Roman" w:hAnsi="Arial" w:cs="Arial"/>
          <w:bCs/>
          <w:sz w:val="24"/>
          <w:szCs w:val="24"/>
        </w:rPr>
        <w:t>8</w:t>
      </w:r>
      <w:r w:rsidRPr="00756CED">
        <w:rPr>
          <w:rFonts w:ascii="Arial" w:eastAsia="Times New Roman" w:hAnsi="Arial" w:cs="Arial"/>
          <w:bCs/>
          <w:sz w:val="24"/>
          <w:szCs w:val="24"/>
        </w:rPr>
        <w:t>, with private sector wage growth increasing by 1.</w:t>
      </w:r>
      <w:r w:rsidR="00756CED" w:rsidRPr="00756CED">
        <w:rPr>
          <w:rFonts w:ascii="Arial" w:eastAsia="Times New Roman" w:hAnsi="Arial" w:cs="Arial"/>
          <w:bCs/>
          <w:sz w:val="24"/>
          <w:szCs w:val="24"/>
        </w:rPr>
        <w:t>6</w:t>
      </w:r>
      <w:r w:rsidRPr="00756CED">
        <w:rPr>
          <w:rFonts w:ascii="Arial" w:eastAsia="Times New Roman" w:hAnsi="Arial" w:cs="Arial"/>
          <w:bCs/>
          <w:sz w:val="24"/>
          <w:szCs w:val="24"/>
        </w:rPr>
        <w:t> per cent</w:t>
      </w:r>
      <w:r w:rsidR="00756CED" w:rsidRPr="00756CED">
        <w:rPr>
          <w:rFonts w:ascii="Arial" w:eastAsia="Times New Roman" w:hAnsi="Arial" w:cs="Arial"/>
          <w:bCs/>
          <w:sz w:val="24"/>
          <w:szCs w:val="24"/>
        </w:rPr>
        <w:t xml:space="preserve"> and public sector wage growth increasing by 1.4 per cent</w:t>
      </w:r>
      <w:r w:rsidRPr="00756CED">
        <w:rPr>
          <w:rFonts w:ascii="Arial" w:eastAsia="Times New Roman" w:hAnsi="Arial" w:cs="Arial"/>
          <w:bCs/>
          <w:sz w:val="24"/>
          <w:szCs w:val="24"/>
        </w:rPr>
        <w:t>.</w:t>
      </w:r>
      <w:r w:rsidRPr="00756CED">
        <w:rPr>
          <w:rFonts w:ascii="Arial" w:hAnsi="Arial" w:cs="Arial"/>
          <w:sz w:val="24"/>
          <w:szCs w:val="24"/>
          <w:vertAlign w:val="superscript"/>
        </w:rPr>
        <w:footnoteReference w:id="9"/>
      </w:r>
      <w:r w:rsidRPr="00756CED">
        <w:rPr>
          <w:rFonts w:ascii="Arial" w:eastAsia="Times New Roman" w:hAnsi="Arial" w:cs="Arial"/>
          <w:bCs/>
          <w:sz w:val="24"/>
          <w:szCs w:val="24"/>
        </w:rPr>
        <w:t xml:space="preserve"> WA Treasury estimates </w:t>
      </w:r>
      <w:r w:rsidR="00756CED" w:rsidRPr="00756CED">
        <w:rPr>
          <w:rFonts w:ascii="Arial" w:eastAsia="Times New Roman" w:hAnsi="Arial" w:cs="Arial"/>
          <w:bCs/>
          <w:sz w:val="24"/>
          <w:szCs w:val="24"/>
        </w:rPr>
        <w:t xml:space="preserve">total </w:t>
      </w:r>
      <w:r w:rsidRPr="00756CED">
        <w:rPr>
          <w:rFonts w:ascii="Arial" w:eastAsia="Times New Roman" w:hAnsi="Arial" w:cs="Arial"/>
          <w:bCs/>
          <w:sz w:val="24"/>
          <w:szCs w:val="24"/>
        </w:rPr>
        <w:t>WPI will increase by 1.</w:t>
      </w:r>
      <w:r w:rsidR="00756CED" w:rsidRPr="00756CED">
        <w:rPr>
          <w:rFonts w:ascii="Arial" w:eastAsia="Times New Roman" w:hAnsi="Arial" w:cs="Arial"/>
          <w:bCs/>
          <w:sz w:val="24"/>
          <w:szCs w:val="24"/>
        </w:rPr>
        <w:t>7</w:t>
      </w:r>
      <w:r w:rsidRPr="00756CED">
        <w:rPr>
          <w:rFonts w:ascii="Arial" w:eastAsia="Times New Roman" w:hAnsi="Arial" w:cs="Arial"/>
          <w:bCs/>
          <w:sz w:val="24"/>
          <w:szCs w:val="24"/>
        </w:rPr>
        <w:t>5 per cent in annual average terms in 201</w:t>
      </w:r>
      <w:r w:rsidR="00756CED" w:rsidRPr="00756CED">
        <w:rPr>
          <w:rFonts w:ascii="Arial" w:eastAsia="Times New Roman" w:hAnsi="Arial" w:cs="Arial"/>
          <w:bCs/>
          <w:sz w:val="24"/>
          <w:szCs w:val="24"/>
        </w:rPr>
        <w:t>8</w:t>
      </w:r>
      <w:r w:rsidRPr="00756CED">
        <w:rPr>
          <w:rFonts w:ascii="Arial" w:eastAsia="Times New Roman" w:hAnsi="Arial" w:cs="Arial"/>
          <w:bCs/>
          <w:sz w:val="24"/>
          <w:szCs w:val="24"/>
        </w:rPr>
        <w:t>-1</w:t>
      </w:r>
      <w:r w:rsidR="00756CED" w:rsidRPr="00756CED">
        <w:rPr>
          <w:rFonts w:ascii="Arial" w:eastAsia="Times New Roman" w:hAnsi="Arial" w:cs="Arial"/>
          <w:bCs/>
          <w:sz w:val="24"/>
          <w:szCs w:val="24"/>
        </w:rPr>
        <w:t>9</w:t>
      </w:r>
      <w:r w:rsidR="00270D2D">
        <w:rPr>
          <w:rFonts w:ascii="Arial" w:eastAsia="Times New Roman" w:hAnsi="Arial" w:cs="Arial"/>
          <w:bCs/>
          <w:sz w:val="24"/>
          <w:szCs w:val="24"/>
        </w:rPr>
        <w:t>, before rising to 2.75 per cent in 2019-20</w:t>
      </w:r>
      <w:r w:rsidRPr="00756CED">
        <w:rPr>
          <w:rFonts w:ascii="Arial" w:eastAsia="Times New Roman" w:hAnsi="Arial" w:cs="Arial"/>
          <w:bCs/>
          <w:sz w:val="24"/>
          <w:szCs w:val="24"/>
        </w:rPr>
        <w:t>.</w:t>
      </w:r>
      <w:r w:rsidRPr="00756CED">
        <w:rPr>
          <w:rFonts w:ascii="Arial" w:hAnsi="Arial" w:cs="Arial"/>
          <w:sz w:val="24"/>
          <w:szCs w:val="24"/>
          <w:vertAlign w:val="superscript"/>
        </w:rPr>
        <w:footnoteReference w:id="10"/>
      </w:r>
      <w:r w:rsidRPr="00756CED">
        <w:rPr>
          <w:rFonts w:ascii="Arial" w:eastAsia="Times New Roman" w:hAnsi="Arial" w:cs="Arial"/>
          <w:bCs/>
          <w:sz w:val="24"/>
          <w:szCs w:val="24"/>
          <w:vertAlign w:val="superscript"/>
        </w:rPr>
        <w:t xml:space="preserve"> </w:t>
      </w:r>
      <w:r w:rsidRPr="00756CED">
        <w:rPr>
          <w:rFonts w:ascii="Arial" w:eastAsia="Times New Roman" w:hAnsi="Arial" w:cs="Arial"/>
          <w:bCs/>
          <w:sz w:val="24"/>
          <w:szCs w:val="24"/>
        </w:rPr>
        <w:t xml:space="preserve"> </w:t>
      </w:r>
    </w:p>
    <w:p w:rsidR="000D0504" w:rsidRDefault="001F726F" w:rsidP="00C02132">
      <w:pPr>
        <w:pStyle w:val="ListParagraph"/>
        <w:numPr>
          <w:ilvl w:val="0"/>
          <w:numId w:val="25"/>
        </w:numPr>
        <w:spacing w:after="0" w:line="240" w:lineRule="auto"/>
        <w:ind w:left="567" w:hanging="567"/>
        <w:contextualSpacing w:val="0"/>
        <w:jc w:val="both"/>
        <w:rPr>
          <w:rFonts w:ascii="Arial" w:hAnsi="Arial" w:cs="Arial"/>
          <w:sz w:val="24"/>
          <w:szCs w:val="24"/>
        </w:rPr>
      </w:pPr>
      <w:r w:rsidRPr="00756CED">
        <w:rPr>
          <w:rFonts w:ascii="Arial" w:hAnsi="Arial" w:cs="Arial"/>
          <w:sz w:val="24"/>
          <w:szCs w:val="24"/>
        </w:rPr>
        <w:t xml:space="preserve">More detailed information on the state of the Western Australian economy is included in </w:t>
      </w:r>
      <w:r w:rsidRPr="00756CED">
        <w:rPr>
          <w:rFonts w:ascii="Arial" w:hAnsi="Arial" w:cs="Arial"/>
          <w:b/>
          <w:sz w:val="24"/>
          <w:szCs w:val="24"/>
        </w:rPr>
        <w:t>Attachment A</w:t>
      </w:r>
      <w:r w:rsidRPr="00756CED">
        <w:rPr>
          <w:rFonts w:ascii="Arial" w:hAnsi="Arial" w:cs="Arial"/>
          <w:sz w:val="24"/>
          <w:szCs w:val="24"/>
        </w:rPr>
        <w:t>.</w:t>
      </w:r>
    </w:p>
    <w:p w:rsidR="001F726F" w:rsidRPr="0060351D" w:rsidRDefault="001F726F" w:rsidP="001F726F">
      <w:pPr>
        <w:pStyle w:val="Heading1"/>
        <w:rPr>
          <w:i/>
        </w:rPr>
      </w:pPr>
      <w:r w:rsidRPr="0060351D">
        <w:t>Coverage of the national industrial relations system in WA</w:t>
      </w:r>
      <w:r w:rsidRPr="0060351D">
        <w:rPr>
          <w:i/>
        </w:rPr>
        <w:t xml:space="preserve"> </w:t>
      </w:r>
    </w:p>
    <w:p w:rsidR="001F726F"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60351D">
        <w:rPr>
          <w:rFonts w:ascii="Arial" w:eastAsia="Times New Roman" w:hAnsi="Arial" w:cs="Arial"/>
          <w:sz w:val="24"/>
          <w:szCs w:val="24"/>
          <w:lang w:val="en-US"/>
        </w:rPr>
        <w:t>Unlike the other Australian States, Western Australia has not referred its industrial relations powers in relation to private sector employers and employees</w:t>
      </w:r>
      <w:r w:rsidR="000F1E93" w:rsidRPr="000F1E93">
        <w:rPr>
          <w:rFonts w:ascii="Arial" w:eastAsia="Times New Roman" w:hAnsi="Arial" w:cs="Arial"/>
          <w:sz w:val="24"/>
          <w:szCs w:val="24"/>
          <w:lang w:val="en-US"/>
        </w:rPr>
        <w:t xml:space="preserve"> </w:t>
      </w:r>
      <w:r w:rsidR="000F1E93" w:rsidRPr="0060351D">
        <w:rPr>
          <w:rFonts w:ascii="Arial" w:eastAsia="Times New Roman" w:hAnsi="Arial" w:cs="Arial"/>
          <w:sz w:val="24"/>
          <w:szCs w:val="24"/>
          <w:lang w:val="en-US"/>
        </w:rPr>
        <w:t>to the Commonwealth</w:t>
      </w:r>
      <w:r w:rsidRPr="0060351D">
        <w:rPr>
          <w:rFonts w:ascii="Arial" w:eastAsia="Times New Roman" w:hAnsi="Arial" w:cs="Arial"/>
          <w:sz w:val="24"/>
          <w:szCs w:val="24"/>
          <w:lang w:val="en-US"/>
        </w:rPr>
        <w:t xml:space="preserve">. </w:t>
      </w:r>
      <w:r w:rsidR="000F1E93">
        <w:rPr>
          <w:rFonts w:ascii="Arial" w:eastAsia="Times New Roman" w:hAnsi="Arial" w:cs="Arial"/>
          <w:sz w:val="24"/>
          <w:szCs w:val="24"/>
          <w:lang w:val="en-US"/>
        </w:rPr>
        <w:t>Con</w:t>
      </w:r>
      <w:r w:rsidRPr="0060351D">
        <w:rPr>
          <w:rFonts w:ascii="Arial" w:eastAsia="Times New Roman" w:hAnsi="Arial" w:cs="Arial"/>
          <w:sz w:val="24"/>
          <w:szCs w:val="24"/>
          <w:lang w:val="en-US"/>
        </w:rPr>
        <w:t xml:space="preserve">sequently, those employing authorities that are not “constitutional corporations” for the purposes of section 51(xx) of the Australian Constitution </w:t>
      </w:r>
      <w:r w:rsidRPr="00561ECA">
        <w:rPr>
          <w:rFonts w:ascii="Arial" w:eastAsia="Times New Roman" w:hAnsi="Arial" w:cs="Arial"/>
          <w:sz w:val="24"/>
          <w:szCs w:val="24"/>
          <w:lang w:val="en-US"/>
        </w:rPr>
        <w:t>generally fall</w:t>
      </w:r>
      <w:r w:rsidRPr="0060351D">
        <w:rPr>
          <w:rFonts w:ascii="Arial" w:eastAsia="Times New Roman" w:hAnsi="Arial" w:cs="Arial"/>
          <w:sz w:val="24"/>
          <w:szCs w:val="24"/>
          <w:lang w:val="en-US"/>
        </w:rPr>
        <w:t xml:space="preserve"> within the State industrial relations jurisdiction.</w:t>
      </w:r>
      <w:r>
        <w:rPr>
          <w:rStyle w:val="FootnoteReference"/>
          <w:rFonts w:ascii="Arial" w:eastAsia="Times New Roman" w:hAnsi="Arial" w:cs="Arial"/>
          <w:sz w:val="24"/>
          <w:szCs w:val="24"/>
          <w:lang w:val="en-US"/>
        </w:rPr>
        <w:footnoteReference w:id="11"/>
      </w:r>
      <w:r w:rsidRPr="0060351D">
        <w:rPr>
          <w:rFonts w:ascii="Arial" w:eastAsia="Times New Roman" w:hAnsi="Arial" w:cs="Arial"/>
          <w:sz w:val="24"/>
          <w:szCs w:val="24"/>
          <w:lang w:val="en-US"/>
        </w:rPr>
        <w:t xml:space="preserve">  </w:t>
      </w:r>
    </w:p>
    <w:p w:rsidR="001F726F" w:rsidRPr="0060351D"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60351D">
        <w:rPr>
          <w:rFonts w:ascii="Arial" w:eastAsia="Times New Roman" w:hAnsi="Arial" w:cs="Arial"/>
          <w:sz w:val="24"/>
          <w:szCs w:val="24"/>
          <w:lang w:val="en-US"/>
        </w:rPr>
        <w:t>As a non-referring State, a larger proportion of the workforce remains subject to the State industrial relations system than in other jurisdictions. Notwithstanding</w:t>
      </w:r>
      <w:r w:rsidR="0063713B">
        <w:rPr>
          <w:rFonts w:ascii="Arial" w:eastAsia="Times New Roman" w:hAnsi="Arial" w:cs="Arial"/>
          <w:sz w:val="24"/>
          <w:szCs w:val="24"/>
          <w:lang w:val="en-US"/>
        </w:rPr>
        <w:t xml:space="preserve"> this</w:t>
      </w:r>
      <w:r w:rsidRPr="0060351D">
        <w:rPr>
          <w:rFonts w:ascii="Arial" w:eastAsia="Times New Roman" w:hAnsi="Arial" w:cs="Arial"/>
          <w:sz w:val="24"/>
          <w:szCs w:val="24"/>
          <w:lang w:val="en-US"/>
        </w:rPr>
        <w:t>, a sizable proportion of Western Australian employers and employees are covered by the national industrial relations syst</w:t>
      </w:r>
      <w:r w:rsidR="00C02132">
        <w:rPr>
          <w:rFonts w:ascii="Arial" w:eastAsia="Times New Roman" w:hAnsi="Arial" w:cs="Arial"/>
          <w:sz w:val="24"/>
          <w:szCs w:val="24"/>
          <w:lang w:val="en-US"/>
        </w:rPr>
        <w:t xml:space="preserve">em, and the AWR therefore has an appreciable </w:t>
      </w:r>
      <w:r w:rsidRPr="0060351D">
        <w:rPr>
          <w:rFonts w:ascii="Arial" w:eastAsia="Times New Roman" w:hAnsi="Arial" w:cs="Arial"/>
          <w:sz w:val="24"/>
          <w:szCs w:val="24"/>
          <w:lang w:val="en-US"/>
        </w:rPr>
        <w:t xml:space="preserve">impact on businesses and employees </w:t>
      </w:r>
      <w:r>
        <w:rPr>
          <w:rFonts w:ascii="Arial" w:eastAsia="Times New Roman" w:hAnsi="Arial" w:cs="Arial"/>
          <w:sz w:val="24"/>
          <w:szCs w:val="24"/>
          <w:lang w:val="en-US"/>
        </w:rPr>
        <w:t>within the State.</w:t>
      </w:r>
    </w:p>
    <w:p w:rsidR="00720DDF" w:rsidRPr="00762EFD" w:rsidRDefault="000F1E93" w:rsidP="00720DDF">
      <w:pPr>
        <w:pStyle w:val="ListParagraph"/>
        <w:numPr>
          <w:ilvl w:val="0"/>
          <w:numId w:val="25"/>
        </w:numPr>
        <w:spacing w:after="0" w:line="240" w:lineRule="auto"/>
        <w:ind w:left="567" w:hanging="567"/>
        <w:contextualSpacing w:val="0"/>
        <w:jc w:val="both"/>
        <w:rPr>
          <w:rFonts w:cs="Arial"/>
          <w:sz w:val="24"/>
          <w:szCs w:val="24"/>
          <w:lang w:val="en" w:eastAsia="en-AU"/>
        </w:rPr>
      </w:pPr>
      <w:r>
        <w:rPr>
          <w:rFonts w:ascii="Arial" w:eastAsia="Times New Roman" w:hAnsi="Arial" w:cs="Arial"/>
          <w:sz w:val="24"/>
          <w:szCs w:val="24"/>
          <w:lang w:val="en-US"/>
        </w:rPr>
        <w:t>T</w:t>
      </w:r>
      <w:r w:rsidR="001F726F" w:rsidRPr="0060351D">
        <w:rPr>
          <w:rFonts w:ascii="Arial" w:eastAsia="Times New Roman" w:hAnsi="Arial" w:cs="Arial"/>
          <w:sz w:val="24"/>
          <w:szCs w:val="24"/>
          <w:lang w:val="en-US"/>
        </w:rPr>
        <w:t xml:space="preserve">he Western Australian Department of Mines, Industry Regulation and Safety estimates that between 64 and 78 per cent of </w:t>
      </w:r>
      <w:r w:rsidR="00405103">
        <w:rPr>
          <w:rFonts w:ascii="Arial" w:eastAsia="Times New Roman" w:hAnsi="Arial" w:cs="Arial"/>
          <w:sz w:val="24"/>
          <w:szCs w:val="24"/>
          <w:lang w:val="en-US"/>
        </w:rPr>
        <w:t xml:space="preserve">the </w:t>
      </w:r>
      <w:r w:rsidR="001F726F" w:rsidRPr="0060351D">
        <w:rPr>
          <w:rFonts w:ascii="Arial" w:eastAsia="Times New Roman" w:hAnsi="Arial" w:cs="Arial"/>
          <w:sz w:val="24"/>
          <w:szCs w:val="24"/>
          <w:lang w:val="en-US"/>
        </w:rPr>
        <w:t>State’s workforce are subject to the national industrial relations jurisdiction.</w:t>
      </w:r>
      <w:r w:rsidR="001F726F" w:rsidRPr="00883DC4">
        <w:rPr>
          <w:rFonts w:ascii="Arial" w:hAnsi="Arial" w:cs="Arial"/>
          <w:sz w:val="24"/>
          <w:szCs w:val="24"/>
          <w:vertAlign w:val="superscript"/>
          <w:lang w:val="en-US"/>
        </w:rPr>
        <w:footnoteReference w:id="12"/>
      </w:r>
      <w:r w:rsidR="001F726F" w:rsidRPr="0060351D">
        <w:rPr>
          <w:rFonts w:ascii="Arial" w:eastAsia="Times New Roman" w:hAnsi="Arial" w:cs="Arial"/>
          <w:sz w:val="24"/>
          <w:szCs w:val="24"/>
          <w:lang w:val="en-US"/>
        </w:rPr>
        <w:t xml:space="preserve"> Estimates of employee coverage vary depending on the methodology used</w:t>
      </w:r>
      <w:r w:rsidR="001F726F">
        <w:rPr>
          <w:rFonts w:ascii="Arial" w:eastAsia="Times New Roman" w:hAnsi="Arial" w:cs="Arial"/>
          <w:sz w:val="24"/>
          <w:szCs w:val="24"/>
          <w:lang w:val="en-US"/>
        </w:rPr>
        <w:t>.</w:t>
      </w:r>
    </w:p>
    <w:p w:rsidR="00720DDF" w:rsidRPr="00762EFD" w:rsidRDefault="00720DDF" w:rsidP="00720DDF">
      <w:pPr>
        <w:pStyle w:val="ListParagraph"/>
        <w:spacing w:after="0" w:line="240" w:lineRule="auto"/>
        <w:ind w:left="567"/>
        <w:contextualSpacing w:val="0"/>
        <w:jc w:val="both"/>
        <w:rPr>
          <w:rFonts w:cs="Arial"/>
          <w:sz w:val="24"/>
          <w:szCs w:val="24"/>
          <w:lang w:val="en" w:eastAsia="en-AU"/>
        </w:rPr>
      </w:pPr>
    </w:p>
    <w:p w:rsidR="001F726F" w:rsidRPr="0060351D" w:rsidRDefault="001F726F" w:rsidP="00720DDF">
      <w:pPr>
        <w:pStyle w:val="Heading1"/>
        <w:spacing w:before="0" w:after="0" w:line="240" w:lineRule="auto"/>
        <w:rPr>
          <w:lang w:val="en-US"/>
        </w:rPr>
      </w:pPr>
      <w:r w:rsidRPr="0060351D">
        <w:rPr>
          <w:lang w:val="en-US"/>
        </w:rPr>
        <w:t>Who is impacted by the Annual Wage Review?</w:t>
      </w:r>
    </w:p>
    <w:p w:rsidR="00720DDF" w:rsidRDefault="00720DDF" w:rsidP="00720DDF">
      <w:pPr>
        <w:tabs>
          <w:tab w:val="num" w:pos="600"/>
        </w:tabs>
        <w:spacing w:after="0" w:line="240" w:lineRule="auto"/>
        <w:jc w:val="both"/>
        <w:rPr>
          <w:rFonts w:ascii="Arial" w:eastAsia="Times New Roman" w:hAnsi="Arial" w:cs="Arial"/>
          <w:b/>
          <w:color w:val="C00000"/>
          <w:sz w:val="24"/>
          <w:szCs w:val="24"/>
          <w:lang w:val="en-US"/>
        </w:rPr>
      </w:pPr>
    </w:p>
    <w:p w:rsidR="001F726F" w:rsidRPr="0066289A" w:rsidRDefault="001F726F" w:rsidP="001F726F">
      <w:pPr>
        <w:tabs>
          <w:tab w:val="num" w:pos="600"/>
        </w:tabs>
        <w:spacing w:after="240" w:line="240" w:lineRule="auto"/>
        <w:jc w:val="both"/>
        <w:rPr>
          <w:rFonts w:ascii="Arial" w:eastAsia="Times New Roman" w:hAnsi="Arial" w:cs="Arial"/>
          <w:b/>
          <w:color w:val="C00000"/>
          <w:sz w:val="24"/>
          <w:szCs w:val="24"/>
          <w:lang w:val="en-US"/>
        </w:rPr>
      </w:pPr>
      <w:r w:rsidRPr="0066289A">
        <w:rPr>
          <w:rFonts w:ascii="Arial" w:eastAsia="Times New Roman" w:hAnsi="Arial" w:cs="Arial"/>
          <w:b/>
          <w:color w:val="C00000"/>
          <w:sz w:val="24"/>
          <w:szCs w:val="24"/>
          <w:lang w:val="en-US"/>
        </w:rPr>
        <w:t xml:space="preserve">Employees covered by awards </w:t>
      </w:r>
    </w:p>
    <w:p w:rsidR="001F726F"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60351D">
        <w:rPr>
          <w:rFonts w:ascii="Arial" w:hAnsi="Arial" w:cs="Arial"/>
          <w:color w:val="000000" w:themeColor="text1"/>
          <w:sz w:val="24"/>
          <w:szCs w:val="24"/>
        </w:rPr>
        <w:t xml:space="preserve">Available data indicates that award-reliance in </w:t>
      </w:r>
      <w:r w:rsidRPr="0060351D">
        <w:rPr>
          <w:rFonts w:ascii="Arial" w:eastAsia="Times New Roman" w:hAnsi="Arial" w:cs="Arial"/>
          <w:sz w:val="24"/>
          <w:szCs w:val="24"/>
          <w:lang w:val="en-US"/>
        </w:rPr>
        <w:t xml:space="preserve">Australia </w:t>
      </w:r>
      <w:r w:rsidR="00DC263C">
        <w:rPr>
          <w:rFonts w:ascii="Arial" w:eastAsia="Times New Roman" w:hAnsi="Arial" w:cs="Arial"/>
          <w:sz w:val="24"/>
          <w:szCs w:val="24"/>
          <w:lang w:val="en-US"/>
        </w:rPr>
        <w:t xml:space="preserve">had been increasing until 2016, </w:t>
      </w:r>
      <w:r w:rsidRPr="0060351D">
        <w:rPr>
          <w:rFonts w:ascii="Arial" w:eastAsia="Times New Roman" w:hAnsi="Arial" w:cs="Arial"/>
          <w:sz w:val="24"/>
          <w:szCs w:val="24"/>
          <w:lang w:val="en-US"/>
        </w:rPr>
        <w:t>reversing a long-term trend away from awards being the central tenet of the wage fixing system.</w:t>
      </w:r>
      <w:r w:rsidR="0063713B">
        <w:rPr>
          <w:rFonts w:ascii="Arial" w:eastAsia="Times New Roman" w:hAnsi="Arial" w:cs="Arial"/>
          <w:sz w:val="24"/>
          <w:szCs w:val="24"/>
          <w:lang w:val="en-US"/>
        </w:rPr>
        <w:t xml:space="preserve"> However, award reliance declined marginally between 2016 and 2018</w:t>
      </w:r>
      <w:r w:rsidR="00A84E85">
        <w:rPr>
          <w:rFonts w:ascii="Arial" w:eastAsia="Times New Roman" w:hAnsi="Arial" w:cs="Arial"/>
          <w:sz w:val="24"/>
          <w:szCs w:val="24"/>
          <w:lang w:val="en-US"/>
        </w:rPr>
        <w:t>, both in Western Australia and nationally.</w:t>
      </w:r>
    </w:p>
    <w:p w:rsidR="00D121E5" w:rsidRDefault="00D121E5">
      <w:pPr>
        <w:rPr>
          <w:rFonts w:ascii="Arial" w:eastAsia="Times New Roman" w:hAnsi="Arial" w:cs="Arial"/>
          <w:sz w:val="24"/>
          <w:szCs w:val="24"/>
          <w:lang w:val="en-US"/>
        </w:rPr>
      </w:pPr>
      <w:r>
        <w:rPr>
          <w:rFonts w:ascii="Arial" w:eastAsia="Times New Roman" w:hAnsi="Arial" w:cs="Arial"/>
          <w:sz w:val="24"/>
          <w:szCs w:val="24"/>
          <w:lang w:val="en-US"/>
        </w:rPr>
        <w:br w:type="page"/>
      </w:r>
    </w:p>
    <w:p w:rsidR="00BE3859" w:rsidRPr="00BE3859" w:rsidRDefault="00B97289" w:rsidP="00C646D7">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C646D7">
        <w:rPr>
          <w:rFonts w:ascii="Arial" w:eastAsia="Times New Roman" w:hAnsi="Arial" w:cs="Arial"/>
          <w:sz w:val="24"/>
          <w:szCs w:val="24"/>
          <w:lang w:val="en-US"/>
        </w:rPr>
        <w:lastRenderedPageBreak/>
        <w:t xml:space="preserve">In Western Australia </w:t>
      </w:r>
      <w:r w:rsidRPr="00C646D7">
        <w:rPr>
          <w:rFonts w:ascii="Arial" w:hAnsi="Arial" w:cs="Arial"/>
          <w:sz w:val="24"/>
          <w:szCs w:val="24"/>
        </w:rPr>
        <w:t>award reliance fell from 16.4 per cent of all non-managerial employees in 2016 to 15.0 per cent in 2018.</w:t>
      </w:r>
      <w:r w:rsidR="00C646D7">
        <w:rPr>
          <w:rStyle w:val="FootnoteReference"/>
          <w:rFonts w:ascii="Arial" w:hAnsi="Arial" w:cs="Arial"/>
          <w:sz w:val="24"/>
          <w:szCs w:val="24"/>
        </w:rPr>
        <w:footnoteReference w:id="13"/>
      </w:r>
      <w:r w:rsidRPr="00C646D7">
        <w:rPr>
          <w:rFonts w:ascii="Arial" w:hAnsi="Arial" w:cs="Arial"/>
          <w:sz w:val="24"/>
          <w:szCs w:val="24"/>
        </w:rPr>
        <w:t xml:space="preserve"> </w:t>
      </w:r>
      <w:r w:rsidR="008D2657" w:rsidRPr="00C646D7">
        <w:rPr>
          <w:rFonts w:ascii="Arial" w:hAnsi="Arial" w:cs="Arial"/>
          <w:sz w:val="24"/>
          <w:szCs w:val="24"/>
        </w:rPr>
        <w:t>This equates to approximately 162,000 employees being paid entirely in accordance with a State or national award. Given the composition of the Western Australian industrial relations system</w:t>
      </w:r>
      <w:r w:rsidR="00B06462" w:rsidRPr="00C646D7">
        <w:rPr>
          <w:rFonts w:ascii="Arial" w:hAnsi="Arial" w:cs="Arial"/>
          <w:sz w:val="24"/>
          <w:szCs w:val="24"/>
        </w:rPr>
        <w:t>,</w:t>
      </w:r>
      <w:r w:rsidR="008D2657" w:rsidRPr="00C646D7">
        <w:rPr>
          <w:rFonts w:ascii="Arial" w:hAnsi="Arial" w:cs="Arial"/>
          <w:sz w:val="24"/>
          <w:szCs w:val="24"/>
        </w:rPr>
        <w:t xml:space="preserve"> the majority of these employees would be subject to national modern awards</w:t>
      </w:r>
      <w:r w:rsidR="004136AD" w:rsidRPr="00C646D7">
        <w:rPr>
          <w:rFonts w:ascii="Arial" w:hAnsi="Arial" w:cs="Arial"/>
          <w:sz w:val="24"/>
          <w:szCs w:val="24"/>
        </w:rPr>
        <w:t>.</w:t>
      </w:r>
      <w:r w:rsidR="007C7BF7">
        <w:rPr>
          <w:rStyle w:val="FootnoteReference"/>
          <w:rFonts w:ascii="Arial" w:hAnsi="Arial" w:cs="Arial"/>
          <w:sz w:val="24"/>
          <w:szCs w:val="24"/>
        </w:rPr>
        <w:footnoteReference w:id="14"/>
      </w:r>
      <w:r w:rsidR="008D2657" w:rsidRPr="00C646D7">
        <w:rPr>
          <w:rFonts w:ascii="Arial" w:hAnsi="Arial" w:cs="Arial"/>
          <w:sz w:val="24"/>
          <w:szCs w:val="24"/>
        </w:rPr>
        <w:t xml:space="preserve">  </w:t>
      </w:r>
    </w:p>
    <w:p w:rsidR="001F726F" w:rsidRPr="00C646D7" w:rsidRDefault="008D2657" w:rsidP="00C646D7">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C646D7">
        <w:rPr>
          <w:rFonts w:ascii="Arial" w:eastAsia="Times New Roman" w:hAnsi="Arial" w:cs="Arial"/>
          <w:sz w:val="24"/>
          <w:szCs w:val="24"/>
          <w:lang w:val="en-US"/>
        </w:rPr>
        <w:t xml:space="preserve">Nationally, award </w:t>
      </w:r>
      <w:r w:rsidR="00B97289" w:rsidRPr="00C646D7">
        <w:rPr>
          <w:rFonts w:ascii="Arial" w:hAnsi="Arial" w:cs="Arial"/>
          <w:sz w:val="24"/>
          <w:szCs w:val="24"/>
        </w:rPr>
        <w:t xml:space="preserve">reliance fell from 24.5 per cent to 22.5 per cent </w:t>
      </w:r>
      <w:r w:rsidR="00B06462" w:rsidRPr="00C646D7">
        <w:rPr>
          <w:rFonts w:ascii="Arial" w:hAnsi="Arial" w:cs="Arial"/>
          <w:sz w:val="24"/>
          <w:szCs w:val="24"/>
        </w:rPr>
        <w:t xml:space="preserve">amongst </w:t>
      </w:r>
      <w:r w:rsidR="005159A1">
        <w:rPr>
          <w:rFonts w:ascii="Arial" w:hAnsi="Arial" w:cs="Arial"/>
          <w:sz w:val="24"/>
          <w:szCs w:val="24"/>
        </w:rPr>
        <w:t xml:space="preserve">                </w:t>
      </w:r>
      <w:r w:rsidR="00B06462" w:rsidRPr="00C646D7">
        <w:rPr>
          <w:rFonts w:ascii="Arial" w:hAnsi="Arial" w:cs="Arial"/>
          <w:sz w:val="24"/>
          <w:szCs w:val="24"/>
        </w:rPr>
        <w:t xml:space="preserve">non-managerial employees </w:t>
      </w:r>
      <w:r w:rsidR="007C7BF7" w:rsidRPr="00C646D7">
        <w:rPr>
          <w:rFonts w:ascii="Arial" w:hAnsi="Arial" w:cs="Arial"/>
          <w:sz w:val="24"/>
          <w:szCs w:val="24"/>
        </w:rPr>
        <w:t xml:space="preserve">between 2016 and </w:t>
      </w:r>
      <w:r w:rsidR="00B97289" w:rsidRPr="00C646D7">
        <w:rPr>
          <w:rFonts w:ascii="Arial" w:hAnsi="Arial" w:cs="Arial"/>
          <w:sz w:val="24"/>
          <w:szCs w:val="24"/>
        </w:rPr>
        <w:t>2018.</w:t>
      </w:r>
      <w:r w:rsidR="00B97289" w:rsidRPr="002C1A67">
        <w:rPr>
          <w:rFonts w:ascii="Arial" w:hAnsi="Arial" w:cs="Arial"/>
          <w:sz w:val="24"/>
          <w:szCs w:val="24"/>
          <w:vertAlign w:val="superscript"/>
        </w:rPr>
        <w:footnoteReference w:id="15"/>
      </w:r>
      <w:r w:rsidR="00B97289" w:rsidRPr="00C646D7">
        <w:rPr>
          <w:rFonts w:ascii="Arial" w:hAnsi="Arial" w:cs="Arial"/>
          <w:sz w:val="24"/>
          <w:szCs w:val="24"/>
        </w:rPr>
        <w:t xml:space="preserve"> </w:t>
      </w:r>
      <w:r w:rsidR="007C7BF7" w:rsidRPr="00C646D7">
        <w:rPr>
          <w:rFonts w:ascii="Arial" w:hAnsi="Arial" w:cs="Arial"/>
          <w:sz w:val="24"/>
          <w:szCs w:val="24"/>
        </w:rPr>
        <w:t xml:space="preserve">As at May 2018 approximately </w:t>
      </w:r>
      <w:r w:rsidR="001F726F" w:rsidRPr="00C646D7">
        <w:rPr>
          <w:rFonts w:ascii="Arial" w:eastAsia="Times New Roman" w:hAnsi="Arial" w:cs="Arial"/>
          <w:sz w:val="24"/>
          <w:szCs w:val="24"/>
          <w:lang w:val="en-US"/>
        </w:rPr>
        <w:t>2.</w:t>
      </w:r>
      <w:r w:rsidR="00C02132" w:rsidRPr="00C646D7">
        <w:rPr>
          <w:rFonts w:ascii="Arial" w:eastAsia="Times New Roman" w:hAnsi="Arial" w:cs="Arial"/>
          <w:sz w:val="24"/>
          <w:szCs w:val="24"/>
          <w:lang w:val="en-US"/>
        </w:rPr>
        <w:t>2</w:t>
      </w:r>
      <w:r w:rsidR="001F726F" w:rsidRPr="00C646D7">
        <w:rPr>
          <w:rFonts w:ascii="Arial" w:eastAsia="Times New Roman" w:hAnsi="Arial" w:cs="Arial"/>
          <w:sz w:val="24"/>
          <w:szCs w:val="24"/>
          <w:lang w:val="en-US"/>
        </w:rPr>
        <w:t>3</w:t>
      </w:r>
      <w:r w:rsidR="00B06462" w:rsidRPr="00C646D7">
        <w:rPr>
          <w:rFonts w:ascii="Arial" w:eastAsia="Times New Roman" w:hAnsi="Arial" w:cs="Arial"/>
          <w:sz w:val="24"/>
          <w:szCs w:val="24"/>
          <w:lang w:val="en-US"/>
        </w:rPr>
        <w:t> </w:t>
      </w:r>
      <w:r w:rsidR="001F726F" w:rsidRPr="00C646D7">
        <w:rPr>
          <w:rFonts w:ascii="Arial" w:eastAsia="Times New Roman" w:hAnsi="Arial" w:cs="Arial"/>
          <w:sz w:val="24"/>
          <w:szCs w:val="24"/>
          <w:lang w:val="en-US"/>
        </w:rPr>
        <w:t>million Australian employees were paid entirely in accordance with an award</w:t>
      </w:r>
      <w:r w:rsidR="007C7BF7" w:rsidRPr="00C646D7">
        <w:rPr>
          <w:rFonts w:ascii="Arial" w:eastAsia="Times New Roman" w:hAnsi="Arial" w:cs="Arial"/>
          <w:sz w:val="24"/>
          <w:szCs w:val="24"/>
          <w:lang w:val="en-US"/>
        </w:rPr>
        <w:t>, the vast majority of whom would be subject to national modern awards.</w:t>
      </w:r>
      <w:r w:rsidR="001F726F" w:rsidRPr="00C646D7">
        <w:rPr>
          <w:rFonts w:ascii="Arial" w:eastAsia="Times New Roman" w:hAnsi="Arial" w:cs="Arial"/>
          <w:sz w:val="24"/>
          <w:szCs w:val="24"/>
          <w:lang w:val="en-US"/>
        </w:rPr>
        <w:t xml:space="preserve"> </w:t>
      </w:r>
    </w:p>
    <w:p w:rsidR="001F726F" w:rsidRPr="00AF5DB2" w:rsidRDefault="00C02132" w:rsidP="000D0504">
      <w:pPr>
        <w:pStyle w:val="ListParagraph"/>
        <w:numPr>
          <w:ilvl w:val="0"/>
          <w:numId w:val="25"/>
        </w:numPr>
        <w:spacing w:after="240" w:line="240" w:lineRule="auto"/>
        <w:ind w:left="567" w:hanging="567"/>
        <w:contextualSpacing w:val="0"/>
        <w:jc w:val="both"/>
        <w:rPr>
          <w:rFonts w:ascii="Arial" w:hAnsi="Arial" w:cs="Arial"/>
          <w:color w:val="000000" w:themeColor="text1"/>
          <w:sz w:val="24"/>
          <w:szCs w:val="24"/>
        </w:rPr>
      </w:pPr>
      <w:r>
        <w:rPr>
          <w:rFonts w:ascii="Arial" w:eastAsia="Times New Roman" w:hAnsi="Arial" w:cs="Arial"/>
          <w:sz w:val="24"/>
          <w:szCs w:val="24"/>
          <w:lang w:val="en-US"/>
        </w:rPr>
        <w:t xml:space="preserve">A number of </w:t>
      </w:r>
      <w:r w:rsidR="001F726F" w:rsidRPr="0060351D">
        <w:rPr>
          <w:rFonts w:ascii="Arial" w:eastAsia="Times New Roman" w:hAnsi="Arial" w:cs="Arial"/>
          <w:sz w:val="24"/>
          <w:szCs w:val="24"/>
          <w:lang w:val="en-US"/>
        </w:rPr>
        <w:t xml:space="preserve">award-reliant employees are solely dependent on increases determined in the AWR to meet changes in their everyday living costs, and it is </w:t>
      </w:r>
      <w:r w:rsidR="005159A1">
        <w:rPr>
          <w:rFonts w:ascii="Arial" w:eastAsia="Times New Roman" w:hAnsi="Arial" w:cs="Arial"/>
          <w:sz w:val="24"/>
          <w:szCs w:val="24"/>
          <w:lang w:val="en-US"/>
        </w:rPr>
        <w:t>essential</w:t>
      </w:r>
      <w:r w:rsidR="001F726F" w:rsidRPr="0060351D">
        <w:rPr>
          <w:rFonts w:ascii="Arial" w:eastAsia="Times New Roman" w:hAnsi="Arial" w:cs="Arial"/>
          <w:sz w:val="24"/>
          <w:szCs w:val="24"/>
          <w:lang w:val="en-US"/>
        </w:rPr>
        <w:t xml:space="preserve"> that fair and </w:t>
      </w:r>
      <w:r>
        <w:rPr>
          <w:rFonts w:ascii="Arial" w:eastAsia="Times New Roman" w:hAnsi="Arial" w:cs="Arial"/>
          <w:sz w:val="24"/>
          <w:szCs w:val="24"/>
          <w:lang w:val="en-US"/>
        </w:rPr>
        <w:t>equitable</w:t>
      </w:r>
      <w:r w:rsidR="001F726F" w:rsidRPr="0060351D">
        <w:rPr>
          <w:rFonts w:ascii="Arial" w:eastAsia="Times New Roman" w:hAnsi="Arial" w:cs="Arial"/>
          <w:sz w:val="24"/>
          <w:szCs w:val="24"/>
          <w:lang w:val="en-US"/>
        </w:rPr>
        <w:t xml:space="preserve"> adjustments to pay rates are granted on a regular basis to ensure the needs of the low paid are adequately safeguarded. </w:t>
      </w:r>
    </w:p>
    <w:p w:rsidR="001F726F" w:rsidRPr="000F21B3"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60351D">
        <w:rPr>
          <w:rFonts w:ascii="Arial" w:eastAsia="Times New Roman" w:hAnsi="Arial" w:cs="Arial"/>
          <w:sz w:val="24"/>
          <w:szCs w:val="24"/>
          <w:lang w:val="en-US"/>
        </w:rPr>
        <w:t xml:space="preserve">Employees in industries known to be award-reliant constitute a significant proportion of Western Australia’s workforce, as shown in Table </w:t>
      </w:r>
      <w:r>
        <w:rPr>
          <w:rFonts w:ascii="Arial" w:eastAsia="Times New Roman" w:hAnsi="Arial" w:cs="Arial"/>
          <w:sz w:val="24"/>
          <w:szCs w:val="24"/>
          <w:lang w:val="en-US"/>
        </w:rPr>
        <w:t>1</w:t>
      </w:r>
      <w:r w:rsidRPr="0060351D">
        <w:rPr>
          <w:rFonts w:ascii="Arial" w:eastAsia="Times New Roman" w:hAnsi="Arial" w:cs="Arial"/>
          <w:sz w:val="24"/>
          <w:szCs w:val="24"/>
          <w:lang w:val="en-US"/>
        </w:rPr>
        <w:t xml:space="preserve"> </w:t>
      </w:r>
      <w:r>
        <w:rPr>
          <w:rFonts w:ascii="Arial" w:eastAsia="Times New Roman" w:hAnsi="Arial" w:cs="Arial"/>
          <w:sz w:val="24"/>
          <w:szCs w:val="24"/>
          <w:lang w:val="en-US"/>
        </w:rPr>
        <w:t>below</w:t>
      </w:r>
      <w:r w:rsidRPr="0060351D">
        <w:rPr>
          <w:rFonts w:ascii="Arial" w:eastAsia="Times New Roman" w:hAnsi="Arial" w:cs="Arial"/>
          <w:sz w:val="24"/>
          <w:szCs w:val="24"/>
          <w:lang w:val="en-US"/>
        </w:rPr>
        <w:t>.</w:t>
      </w:r>
    </w:p>
    <w:p w:rsidR="00BE3859" w:rsidRDefault="00BE3859">
      <w:pPr>
        <w:rPr>
          <w:rFonts w:ascii="Arial" w:eastAsia="Times New Roman" w:hAnsi="Arial" w:cs="Arial"/>
          <w:b/>
          <w:sz w:val="20"/>
          <w:szCs w:val="20"/>
          <w:lang w:val="en-US"/>
        </w:rPr>
      </w:pPr>
      <w:r>
        <w:rPr>
          <w:rFonts w:ascii="Arial" w:eastAsia="Times New Roman" w:hAnsi="Arial" w:cs="Arial"/>
          <w:b/>
          <w:sz w:val="20"/>
          <w:szCs w:val="20"/>
          <w:lang w:val="en-US"/>
        </w:rPr>
        <w:br w:type="page"/>
      </w:r>
    </w:p>
    <w:p w:rsidR="001F726F" w:rsidRPr="0060351D" w:rsidRDefault="001F726F" w:rsidP="001F726F">
      <w:pPr>
        <w:spacing w:after="0" w:line="240" w:lineRule="auto"/>
        <w:ind w:right="-371"/>
        <w:jc w:val="center"/>
        <w:rPr>
          <w:rFonts w:ascii="Arial" w:eastAsia="Times New Roman" w:hAnsi="Arial" w:cs="Arial"/>
          <w:b/>
          <w:sz w:val="20"/>
          <w:szCs w:val="20"/>
          <w:lang w:val="en-US"/>
        </w:rPr>
      </w:pPr>
      <w:r w:rsidRPr="0060351D">
        <w:rPr>
          <w:rFonts w:ascii="Arial" w:eastAsia="Times New Roman" w:hAnsi="Arial" w:cs="Arial"/>
          <w:b/>
          <w:sz w:val="20"/>
          <w:szCs w:val="20"/>
          <w:lang w:val="en-US"/>
        </w:rPr>
        <w:lastRenderedPageBreak/>
        <w:t xml:space="preserve">Table </w:t>
      </w:r>
      <w:r>
        <w:rPr>
          <w:rFonts w:ascii="Arial" w:eastAsia="Times New Roman" w:hAnsi="Arial" w:cs="Arial"/>
          <w:b/>
          <w:sz w:val="20"/>
          <w:szCs w:val="20"/>
          <w:lang w:val="en-US"/>
        </w:rPr>
        <w:t>1</w:t>
      </w:r>
      <w:r w:rsidRPr="0060351D">
        <w:rPr>
          <w:rFonts w:ascii="Arial" w:eastAsia="Times New Roman" w:hAnsi="Arial" w:cs="Arial"/>
          <w:b/>
          <w:sz w:val="20"/>
          <w:szCs w:val="20"/>
          <w:lang w:val="en-US"/>
        </w:rPr>
        <w:t>: Employment and award reliance by industry - WA and Australia, November Quarter 201</w:t>
      </w:r>
      <w:r w:rsidR="00202A9F">
        <w:rPr>
          <w:rFonts w:ascii="Arial" w:eastAsia="Times New Roman" w:hAnsi="Arial" w:cs="Arial"/>
          <w:b/>
          <w:sz w:val="20"/>
          <w:szCs w:val="20"/>
          <w:lang w:val="en-US"/>
        </w:rPr>
        <w:t>8</w:t>
      </w:r>
    </w:p>
    <w:tbl>
      <w:tblPr>
        <w:tblStyle w:val="ColorfulList-Accent21"/>
        <w:tblW w:w="101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786"/>
        <w:gridCol w:w="1741"/>
        <w:gridCol w:w="1668"/>
        <w:gridCol w:w="1977"/>
      </w:tblGrid>
      <w:tr w:rsidR="001F726F" w:rsidRPr="00202A9F" w:rsidTr="003E2EB4">
        <w:trPr>
          <w:cnfStyle w:val="100000000000" w:firstRow="1" w:lastRow="0" w:firstColumn="0" w:lastColumn="0" w:oddVBand="0" w:evenVBand="0" w:oddHBand="0"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4786" w:type="dxa"/>
            <w:tcBorders>
              <w:bottom w:val="none" w:sz="0" w:space="0" w:color="auto"/>
            </w:tcBorders>
            <w:shd w:val="clear" w:color="auto" w:fill="92CDDC" w:themeFill="accent5" w:themeFillTint="99"/>
            <w:vAlign w:val="center"/>
            <w:hideMark/>
          </w:tcPr>
          <w:p w:rsidR="001F726F" w:rsidRPr="00202A9F" w:rsidRDefault="001F726F" w:rsidP="003E2EB4">
            <w:pPr>
              <w:jc w:val="center"/>
              <w:rPr>
                <w:rFonts w:ascii="Arial" w:hAnsi="Arial" w:cs="Arial"/>
                <w:color w:val="000000"/>
                <w:sz w:val="20"/>
                <w:szCs w:val="20"/>
              </w:rPr>
            </w:pPr>
            <w:r w:rsidRPr="00202A9F">
              <w:rPr>
                <w:rFonts w:ascii="Arial" w:hAnsi="Arial" w:cs="Arial"/>
                <w:color w:val="000000"/>
                <w:sz w:val="20"/>
                <w:szCs w:val="20"/>
              </w:rPr>
              <w:t>Industry</w:t>
            </w:r>
          </w:p>
        </w:tc>
        <w:tc>
          <w:tcPr>
            <w:tcW w:w="1741" w:type="dxa"/>
            <w:tcBorders>
              <w:bottom w:val="none" w:sz="0" w:space="0" w:color="auto"/>
            </w:tcBorders>
            <w:shd w:val="clear" w:color="auto" w:fill="92CDDC" w:themeFill="accent5" w:themeFillTint="99"/>
            <w:vAlign w:val="center"/>
            <w:hideMark/>
          </w:tcPr>
          <w:p w:rsidR="001F726F" w:rsidRPr="00202A9F" w:rsidRDefault="001F726F" w:rsidP="00E369CB">
            <w:pPr>
              <w:ind w:left="70" w:hanging="142"/>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02A9F">
              <w:rPr>
                <w:rFonts w:ascii="Arial" w:hAnsi="Arial" w:cs="Arial"/>
                <w:color w:val="000000" w:themeColor="text1"/>
                <w:sz w:val="20"/>
                <w:szCs w:val="20"/>
              </w:rPr>
              <w:t>WA: Proportion of Workforce</w:t>
            </w:r>
            <w:r w:rsidR="00E369CB">
              <w:rPr>
                <w:rStyle w:val="FootnoteReference"/>
                <w:rFonts w:ascii="Arial" w:hAnsi="Arial" w:cs="Arial"/>
                <w:color w:val="000000" w:themeColor="text1"/>
                <w:sz w:val="20"/>
                <w:szCs w:val="20"/>
              </w:rPr>
              <w:footnoteReference w:id="16"/>
            </w:r>
          </w:p>
        </w:tc>
        <w:tc>
          <w:tcPr>
            <w:tcW w:w="1668" w:type="dxa"/>
            <w:tcBorders>
              <w:bottom w:val="none" w:sz="0" w:space="0" w:color="auto"/>
            </w:tcBorders>
            <w:shd w:val="clear" w:color="auto" w:fill="92CDDC" w:themeFill="accent5" w:themeFillTint="99"/>
            <w:vAlign w:val="center"/>
            <w:hideMark/>
          </w:tcPr>
          <w:p w:rsidR="001F726F" w:rsidRPr="00202A9F" w:rsidRDefault="001F726F" w:rsidP="00E369CB">
            <w:pPr>
              <w:ind w:left="-14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02A9F">
              <w:rPr>
                <w:rFonts w:ascii="Arial" w:hAnsi="Arial" w:cs="Arial"/>
                <w:color w:val="000000" w:themeColor="text1"/>
                <w:sz w:val="20"/>
                <w:szCs w:val="20"/>
              </w:rPr>
              <w:t>Australia: Proportion of Workforce</w:t>
            </w:r>
            <w:r w:rsidR="00F30BCA" w:rsidRPr="00F30BCA">
              <w:rPr>
                <w:rFonts w:ascii="Arial" w:hAnsi="Arial" w:cs="Arial"/>
                <w:color w:val="000000" w:themeColor="text1"/>
                <w:sz w:val="20"/>
                <w:szCs w:val="20"/>
                <w:vertAlign w:val="superscript"/>
              </w:rPr>
              <w:t>16</w:t>
            </w:r>
          </w:p>
        </w:tc>
        <w:tc>
          <w:tcPr>
            <w:tcW w:w="1977" w:type="dxa"/>
            <w:tcBorders>
              <w:bottom w:val="none" w:sz="0" w:space="0" w:color="auto"/>
            </w:tcBorders>
            <w:shd w:val="clear" w:color="auto" w:fill="92CDDC" w:themeFill="accent5" w:themeFillTint="99"/>
            <w:vAlign w:val="center"/>
          </w:tcPr>
          <w:p w:rsidR="001F726F" w:rsidRPr="00202A9F" w:rsidRDefault="001F726F" w:rsidP="00E369CB">
            <w:pPr>
              <w:ind w:left="27" w:hanging="2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rPr>
            </w:pPr>
            <w:r w:rsidRPr="00202A9F">
              <w:rPr>
                <w:rFonts w:ascii="Arial" w:hAnsi="Arial" w:cs="Arial"/>
                <w:color w:val="000000" w:themeColor="text1"/>
                <w:sz w:val="20"/>
                <w:szCs w:val="20"/>
              </w:rPr>
              <w:t>Australia: Proportion of employees paid by award</w:t>
            </w:r>
            <w:r w:rsidR="00E369CB">
              <w:rPr>
                <w:rStyle w:val="FootnoteReference"/>
                <w:rFonts w:ascii="Arial" w:hAnsi="Arial" w:cs="Arial"/>
                <w:color w:val="000000" w:themeColor="text1"/>
                <w:sz w:val="20"/>
                <w:szCs w:val="20"/>
              </w:rPr>
              <w:footnoteReference w:id="17"/>
            </w:r>
          </w:p>
        </w:tc>
      </w:tr>
      <w:tr w:rsidR="001F726F" w:rsidRPr="00202A9F" w:rsidTr="00F30B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92CDDC" w:themeFill="accent5" w:themeFillTint="99"/>
            <w:vAlign w:val="center"/>
            <w:hideMark/>
          </w:tcPr>
          <w:p w:rsidR="001F726F" w:rsidRPr="00202A9F" w:rsidRDefault="001F726F" w:rsidP="003E2EB4">
            <w:pPr>
              <w:rPr>
                <w:rFonts w:ascii="Arial" w:hAnsi="Arial" w:cs="Arial"/>
                <w:color w:val="000000"/>
                <w:sz w:val="20"/>
                <w:szCs w:val="20"/>
              </w:rPr>
            </w:pPr>
            <w:r w:rsidRPr="00202A9F">
              <w:rPr>
                <w:rFonts w:ascii="Arial" w:hAnsi="Arial" w:cs="Arial"/>
                <w:color w:val="000000"/>
                <w:sz w:val="20"/>
                <w:szCs w:val="20"/>
              </w:rPr>
              <w:t>Accommodation and Food Services</w:t>
            </w:r>
          </w:p>
        </w:tc>
        <w:tc>
          <w:tcPr>
            <w:tcW w:w="1741" w:type="dxa"/>
            <w:shd w:val="clear" w:color="auto" w:fill="92CDDC" w:themeFill="accent5" w:themeFillTint="99"/>
            <w:noWrap/>
            <w:vAlign w:val="center"/>
          </w:tcPr>
          <w:p w:rsidR="001F726F" w:rsidRPr="00202A9F" w:rsidRDefault="00811021" w:rsidP="003E2EB4">
            <w:pPr>
              <w:ind w:left="360" w:hanging="32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6.9</w:t>
            </w:r>
            <w:r w:rsidR="001F726F" w:rsidRPr="00202A9F">
              <w:rPr>
                <w:rFonts w:ascii="Arial" w:hAnsi="Arial" w:cs="Arial"/>
                <w:color w:val="000000"/>
                <w:sz w:val="20"/>
                <w:szCs w:val="20"/>
              </w:rPr>
              <w:t>%</w:t>
            </w:r>
          </w:p>
        </w:tc>
        <w:tc>
          <w:tcPr>
            <w:tcW w:w="1668" w:type="dxa"/>
            <w:shd w:val="clear" w:color="auto" w:fill="92CDDC" w:themeFill="accent5" w:themeFillTint="99"/>
            <w:noWrap/>
            <w:vAlign w:val="center"/>
          </w:tcPr>
          <w:p w:rsidR="001F726F" w:rsidRPr="00893A59" w:rsidRDefault="001F726F" w:rsidP="007C6134">
            <w:pPr>
              <w:ind w:left="360" w:hanging="224"/>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7.</w:t>
            </w:r>
            <w:r w:rsidR="007C6134" w:rsidRPr="007C6134">
              <w:rPr>
                <w:rFonts w:ascii="Arial" w:hAnsi="Arial" w:cs="Arial"/>
                <w:color w:val="000000"/>
                <w:sz w:val="20"/>
                <w:szCs w:val="20"/>
              </w:rPr>
              <w:t>1</w:t>
            </w:r>
            <w:r w:rsidRPr="007C6134">
              <w:rPr>
                <w:rFonts w:ascii="Arial" w:hAnsi="Arial" w:cs="Arial"/>
                <w:color w:val="000000"/>
                <w:sz w:val="20"/>
                <w:szCs w:val="20"/>
              </w:rPr>
              <w:t>%</w:t>
            </w:r>
          </w:p>
        </w:tc>
        <w:tc>
          <w:tcPr>
            <w:tcW w:w="1977" w:type="dxa"/>
            <w:shd w:val="clear" w:color="auto" w:fill="92CDDC" w:themeFill="accent5" w:themeFillTint="99"/>
            <w:vAlign w:val="center"/>
          </w:tcPr>
          <w:p w:rsidR="001F726F" w:rsidRPr="0084055C" w:rsidRDefault="0084055C" w:rsidP="0084055C">
            <w:pPr>
              <w:ind w:left="360" w:hanging="33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44.9</w:t>
            </w:r>
            <w:r w:rsidR="001F726F" w:rsidRPr="0084055C">
              <w:rPr>
                <w:rFonts w:ascii="Arial" w:hAnsi="Arial" w:cs="Arial"/>
                <w:color w:val="000000"/>
                <w:sz w:val="20"/>
                <w:szCs w:val="20"/>
              </w:rPr>
              <w:t>%</w:t>
            </w:r>
          </w:p>
        </w:tc>
      </w:tr>
      <w:tr w:rsidR="001F726F" w:rsidRPr="00202A9F" w:rsidTr="00F30BCA">
        <w:trPr>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DAEEF3" w:themeFill="accent5" w:themeFillTint="33"/>
            <w:vAlign w:val="center"/>
            <w:hideMark/>
          </w:tcPr>
          <w:p w:rsidR="001F726F" w:rsidRPr="00202A9F" w:rsidRDefault="001F726F" w:rsidP="003E2EB4">
            <w:pPr>
              <w:rPr>
                <w:rFonts w:ascii="Arial" w:hAnsi="Arial" w:cs="Arial"/>
                <w:color w:val="000000"/>
                <w:sz w:val="20"/>
                <w:szCs w:val="20"/>
              </w:rPr>
            </w:pPr>
            <w:r w:rsidRPr="00202A9F">
              <w:rPr>
                <w:rFonts w:ascii="Arial" w:hAnsi="Arial" w:cs="Arial"/>
                <w:color w:val="000000"/>
                <w:sz w:val="20"/>
                <w:szCs w:val="20"/>
              </w:rPr>
              <w:t>Administrative and Support Services</w:t>
            </w:r>
          </w:p>
        </w:tc>
        <w:tc>
          <w:tcPr>
            <w:tcW w:w="1741" w:type="dxa"/>
            <w:shd w:val="clear" w:color="auto" w:fill="DAEEF3" w:themeFill="accent5" w:themeFillTint="33"/>
            <w:noWrap/>
            <w:vAlign w:val="center"/>
          </w:tcPr>
          <w:p w:rsidR="001F726F" w:rsidRPr="00202A9F" w:rsidRDefault="00811021" w:rsidP="003E2EB4">
            <w:pPr>
              <w:ind w:left="360" w:hanging="326"/>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2.7</w:t>
            </w:r>
            <w:r w:rsidR="001F726F" w:rsidRPr="00202A9F">
              <w:rPr>
                <w:rFonts w:ascii="Arial" w:hAnsi="Arial" w:cs="Arial"/>
                <w:color w:val="000000"/>
                <w:sz w:val="20"/>
                <w:szCs w:val="20"/>
              </w:rPr>
              <w:t>%</w:t>
            </w:r>
          </w:p>
        </w:tc>
        <w:tc>
          <w:tcPr>
            <w:tcW w:w="1668" w:type="dxa"/>
            <w:shd w:val="clear" w:color="auto" w:fill="DAEEF3" w:themeFill="accent5" w:themeFillTint="33"/>
            <w:noWrap/>
            <w:vAlign w:val="center"/>
          </w:tcPr>
          <w:p w:rsidR="001F726F" w:rsidRPr="00893A59" w:rsidRDefault="001F726F" w:rsidP="007C6134">
            <w:pPr>
              <w:ind w:left="360" w:hanging="224"/>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3.</w:t>
            </w:r>
            <w:r w:rsidR="007C6134" w:rsidRPr="007C6134">
              <w:rPr>
                <w:rFonts w:ascii="Arial" w:hAnsi="Arial" w:cs="Arial"/>
                <w:color w:val="000000"/>
                <w:sz w:val="20"/>
                <w:szCs w:val="20"/>
              </w:rPr>
              <w:t>2</w:t>
            </w:r>
            <w:r w:rsidRPr="007C6134">
              <w:rPr>
                <w:rFonts w:ascii="Arial" w:hAnsi="Arial" w:cs="Arial"/>
                <w:color w:val="000000"/>
                <w:sz w:val="20"/>
                <w:szCs w:val="20"/>
              </w:rPr>
              <w:t>%</w:t>
            </w:r>
          </w:p>
        </w:tc>
        <w:tc>
          <w:tcPr>
            <w:tcW w:w="1977" w:type="dxa"/>
            <w:shd w:val="clear" w:color="auto" w:fill="DAEEF3" w:themeFill="accent5" w:themeFillTint="33"/>
            <w:vAlign w:val="center"/>
          </w:tcPr>
          <w:p w:rsidR="001F726F" w:rsidRPr="0084055C" w:rsidRDefault="001F726F" w:rsidP="0084055C">
            <w:pPr>
              <w:ind w:left="360" w:hanging="33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4</w:t>
            </w:r>
            <w:r w:rsidR="0084055C" w:rsidRPr="0084055C">
              <w:rPr>
                <w:rFonts w:ascii="Arial" w:hAnsi="Arial" w:cs="Arial"/>
                <w:color w:val="000000"/>
                <w:sz w:val="20"/>
                <w:szCs w:val="20"/>
              </w:rPr>
              <w:t>1</w:t>
            </w:r>
            <w:r w:rsidRPr="0084055C">
              <w:rPr>
                <w:rFonts w:ascii="Arial" w:hAnsi="Arial" w:cs="Arial"/>
                <w:color w:val="000000"/>
                <w:sz w:val="20"/>
                <w:szCs w:val="20"/>
              </w:rPr>
              <w:t>.</w:t>
            </w:r>
            <w:r w:rsidR="0084055C" w:rsidRPr="0084055C">
              <w:rPr>
                <w:rFonts w:ascii="Arial" w:hAnsi="Arial" w:cs="Arial"/>
                <w:color w:val="000000"/>
                <w:sz w:val="20"/>
                <w:szCs w:val="20"/>
              </w:rPr>
              <w:t>3</w:t>
            </w:r>
            <w:r w:rsidRPr="0084055C">
              <w:rPr>
                <w:rFonts w:ascii="Arial" w:hAnsi="Arial" w:cs="Arial"/>
                <w:color w:val="000000"/>
                <w:sz w:val="20"/>
                <w:szCs w:val="20"/>
              </w:rPr>
              <w:t>%</w:t>
            </w:r>
          </w:p>
        </w:tc>
      </w:tr>
      <w:tr w:rsidR="0084055C" w:rsidRPr="00202A9F" w:rsidTr="00F30B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92CDDC" w:themeFill="accent5" w:themeFillTint="99"/>
            <w:vAlign w:val="center"/>
          </w:tcPr>
          <w:p w:rsidR="0084055C" w:rsidRPr="00202A9F" w:rsidRDefault="0084055C" w:rsidP="0084055C">
            <w:pPr>
              <w:rPr>
                <w:rFonts w:ascii="Arial" w:hAnsi="Arial" w:cs="Arial"/>
                <w:color w:val="000000"/>
                <w:sz w:val="20"/>
                <w:szCs w:val="20"/>
              </w:rPr>
            </w:pPr>
            <w:r w:rsidRPr="00202A9F">
              <w:rPr>
                <w:rFonts w:ascii="Arial" w:hAnsi="Arial" w:cs="Arial"/>
                <w:color w:val="000000"/>
                <w:sz w:val="20"/>
                <w:szCs w:val="20"/>
              </w:rPr>
              <w:t>Other Services</w:t>
            </w:r>
          </w:p>
        </w:tc>
        <w:tc>
          <w:tcPr>
            <w:tcW w:w="1741" w:type="dxa"/>
            <w:shd w:val="clear" w:color="auto" w:fill="92CDDC" w:themeFill="accent5" w:themeFillTint="99"/>
            <w:noWrap/>
            <w:vAlign w:val="center"/>
          </w:tcPr>
          <w:p w:rsidR="0084055C" w:rsidRPr="00202A9F" w:rsidRDefault="0084055C" w:rsidP="0084055C">
            <w:pPr>
              <w:ind w:left="360" w:hanging="32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3.8</w:t>
            </w:r>
            <w:r w:rsidRPr="00202A9F">
              <w:rPr>
                <w:rFonts w:ascii="Arial" w:hAnsi="Arial" w:cs="Arial"/>
                <w:color w:val="000000"/>
                <w:sz w:val="20"/>
                <w:szCs w:val="20"/>
              </w:rPr>
              <w:t>%</w:t>
            </w:r>
          </w:p>
        </w:tc>
        <w:tc>
          <w:tcPr>
            <w:tcW w:w="1668" w:type="dxa"/>
            <w:shd w:val="clear" w:color="auto" w:fill="92CDDC" w:themeFill="accent5" w:themeFillTint="99"/>
            <w:noWrap/>
            <w:vAlign w:val="center"/>
          </w:tcPr>
          <w:p w:rsidR="0084055C" w:rsidRPr="00893A59" w:rsidRDefault="0084055C" w:rsidP="0084055C">
            <w:pPr>
              <w:ind w:left="360" w:hanging="224"/>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3.8%</w:t>
            </w:r>
          </w:p>
        </w:tc>
        <w:tc>
          <w:tcPr>
            <w:tcW w:w="1977" w:type="dxa"/>
            <w:shd w:val="clear" w:color="auto" w:fill="92CDDC" w:themeFill="accent5" w:themeFillTint="99"/>
            <w:vAlign w:val="center"/>
          </w:tcPr>
          <w:p w:rsidR="0084055C" w:rsidRPr="0084055C" w:rsidRDefault="0084055C" w:rsidP="0084055C">
            <w:pPr>
              <w:ind w:left="360" w:hanging="33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38.1%</w:t>
            </w:r>
          </w:p>
        </w:tc>
      </w:tr>
      <w:tr w:rsidR="0084055C" w:rsidRPr="00202A9F" w:rsidTr="00F30BCA">
        <w:trPr>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DAEEF3" w:themeFill="accent5" w:themeFillTint="33"/>
            <w:vAlign w:val="center"/>
          </w:tcPr>
          <w:p w:rsidR="0084055C" w:rsidRPr="00202A9F" w:rsidRDefault="0084055C" w:rsidP="0084055C">
            <w:pPr>
              <w:rPr>
                <w:rFonts w:ascii="Arial" w:hAnsi="Arial" w:cs="Arial"/>
                <w:color w:val="000000"/>
                <w:sz w:val="20"/>
                <w:szCs w:val="20"/>
              </w:rPr>
            </w:pPr>
            <w:r w:rsidRPr="00202A9F">
              <w:rPr>
                <w:rFonts w:ascii="Arial" w:hAnsi="Arial" w:cs="Arial"/>
                <w:color w:val="000000"/>
                <w:sz w:val="20"/>
                <w:szCs w:val="20"/>
              </w:rPr>
              <w:t>Health Care and Social Assistance</w:t>
            </w:r>
          </w:p>
        </w:tc>
        <w:tc>
          <w:tcPr>
            <w:tcW w:w="1741" w:type="dxa"/>
            <w:shd w:val="clear" w:color="auto" w:fill="DAEEF3" w:themeFill="accent5" w:themeFillTint="33"/>
            <w:noWrap/>
            <w:vAlign w:val="center"/>
          </w:tcPr>
          <w:p w:rsidR="0084055C" w:rsidRPr="00202A9F" w:rsidRDefault="0084055C" w:rsidP="0084055C">
            <w:pPr>
              <w:ind w:left="360" w:hanging="326"/>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02A9F">
              <w:rPr>
                <w:rFonts w:ascii="Arial" w:hAnsi="Arial" w:cs="Arial"/>
                <w:color w:val="000000"/>
                <w:sz w:val="20"/>
                <w:szCs w:val="20"/>
              </w:rPr>
              <w:t>12.</w:t>
            </w:r>
            <w:r>
              <w:rPr>
                <w:rFonts w:ascii="Arial" w:hAnsi="Arial" w:cs="Arial"/>
                <w:color w:val="000000"/>
                <w:sz w:val="20"/>
                <w:szCs w:val="20"/>
              </w:rPr>
              <w:t>2</w:t>
            </w:r>
            <w:r w:rsidRPr="00202A9F">
              <w:rPr>
                <w:rFonts w:ascii="Arial" w:hAnsi="Arial" w:cs="Arial"/>
                <w:color w:val="000000"/>
                <w:sz w:val="20"/>
                <w:szCs w:val="20"/>
              </w:rPr>
              <w:t>%</w:t>
            </w:r>
          </w:p>
        </w:tc>
        <w:tc>
          <w:tcPr>
            <w:tcW w:w="1668" w:type="dxa"/>
            <w:shd w:val="clear" w:color="auto" w:fill="DAEEF3" w:themeFill="accent5" w:themeFillTint="33"/>
            <w:noWrap/>
            <w:vAlign w:val="center"/>
          </w:tcPr>
          <w:p w:rsidR="0084055C" w:rsidRPr="00893A59" w:rsidRDefault="0084055C" w:rsidP="0084055C">
            <w:pPr>
              <w:ind w:left="360" w:hanging="224"/>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13.2%</w:t>
            </w:r>
          </w:p>
        </w:tc>
        <w:tc>
          <w:tcPr>
            <w:tcW w:w="1977" w:type="dxa"/>
            <w:shd w:val="clear" w:color="auto" w:fill="DAEEF3" w:themeFill="accent5" w:themeFillTint="33"/>
            <w:vAlign w:val="center"/>
          </w:tcPr>
          <w:p w:rsidR="0084055C" w:rsidRPr="0084055C" w:rsidRDefault="0084055C" w:rsidP="0084055C">
            <w:pPr>
              <w:ind w:left="360" w:hanging="33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31.7%</w:t>
            </w:r>
          </w:p>
        </w:tc>
      </w:tr>
      <w:tr w:rsidR="0084055C" w:rsidRPr="00202A9F" w:rsidTr="00F30B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92CDDC" w:themeFill="accent5" w:themeFillTint="99"/>
            <w:vAlign w:val="center"/>
            <w:hideMark/>
          </w:tcPr>
          <w:p w:rsidR="0084055C" w:rsidRPr="00202A9F" w:rsidRDefault="0084055C" w:rsidP="0084055C">
            <w:pPr>
              <w:rPr>
                <w:rFonts w:ascii="Arial" w:hAnsi="Arial" w:cs="Arial"/>
                <w:color w:val="000000"/>
                <w:sz w:val="20"/>
                <w:szCs w:val="20"/>
              </w:rPr>
            </w:pPr>
            <w:r w:rsidRPr="00202A9F">
              <w:rPr>
                <w:rFonts w:ascii="Arial" w:hAnsi="Arial" w:cs="Arial"/>
                <w:color w:val="000000"/>
                <w:sz w:val="20"/>
                <w:szCs w:val="20"/>
              </w:rPr>
              <w:t>Retail Trade</w:t>
            </w:r>
          </w:p>
        </w:tc>
        <w:tc>
          <w:tcPr>
            <w:tcW w:w="1741" w:type="dxa"/>
            <w:shd w:val="clear" w:color="auto" w:fill="92CDDC" w:themeFill="accent5" w:themeFillTint="99"/>
            <w:noWrap/>
            <w:vAlign w:val="center"/>
          </w:tcPr>
          <w:p w:rsidR="0084055C" w:rsidRPr="00202A9F" w:rsidRDefault="0084055C" w:rsidP="0084055C">
            <w:pPr>
              <w:ind w:left="360" w:hanging="32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02A9F">
              <w:rPr>
                <w:rFonts w:ascii="Arial" w:hAnsi="Arial" w:cs="Arial"/>
                <w:color w:val="000000"/>
                <w:sz w:val="20"/>
                <w:szCs w:val="20"/>
              </w:rPr>
              <w:t>9.</w:t>
            </w:r>
            <w:r>
              <w:rPr>
                <w:rFonts w:ascii="Arial" w:hAnsi="Arial" w:cs="Arial"/>
                <w:color w:val="000000"/>
                <w:sz w:val="20"/>
                <w:szCs w:val="20"/>
              </w:rPr>
              <w:t>4</w:t>
            </w:r>
            <w:r w:rsidRPr="00202A9F">
              <w:rPr>
                <w:rFonts w:ascii="Arial" w:hAnsi="Arial" w:cs="Arial"/>
                <w:color w:val="000000"/>
                <w:sz w:val="20"/>
                <w:szCs w:val="20"/>
              </w:rPr>
              <w:t>%</w:t>
            </w:r>
          </w:p>
        </w:tc>
        <w:tc>
          <w:tcPr>
            <w:tcW w:w="1668" w:type="dxa"/>
            <w:shd w:val="clear" w:color="auto" w:fill="92CDDC" w:themeFill="accent5" w:themeFillTint="99"/>
            <w:noWrap/>
            <w:vAlign w:val="center"/>
          </w:tcPr>
          <w:p w:rsidR="0084055C" w:rsidRPr="00893A59" w:rsidRDefault="0084055C" w:rsidP="0084055C">
            <w:pPr>
              <w:ind w:left="360" w:hanging="224"/>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10.2%</w:t>
            </w:r>
          </w:p>
        </w:tc>
        <w:tc>
          <w:tcPr>
            <w:tcW w:w="1977" w:type="dxa"/>
            <w:shd w:val="clear" w:color="auto" w:fill="92CDDC" w:themeFill="accent5" w:themeFillTint="99"/>
            <w:vAlign w:val="center"/>
          </w:tcPr>
          <w:p w:rsidR="0084055C" w:rsidRPr="0084055C" w:rsidRDefault="0084055C" w:rsidP="0084055C">
            <w:pPr>
              <w:ind w:left="360" w:hanging="33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30.1%</w:t>
            </w:r>
          </w:p>
        </w:tc>
      </w:tr>
      <w:tr w:rsidR="0084055C" w:rsidRPr="00202A9F" w:rsidTr="00F30BCA">
        <w:trPr>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DAEEF3" w:themeFill="accent5" w:themeFillTint="33"/>
            <w:vAlign w:val="center"/>
          </w:tcPr>
          <w:p w:rsidR="0084055C" w:rsidRPr="00202A9F" w:rsidRDefault="0084055C" w:rsidP="0084055C">
            <w:pPr>
              <w:rPr>
                <w:rFonts w:ascii="Arial" w:hAnsi="Arial" w:cs="Arial"/>
                <w:color w:val="000000"/>
                <w:sz w:val="20"/>
                <w:szCs w:val="20"/>
              </w:rPr>
            </w:pPr>
            <w:r w:rsidRPr="00202A9F">
              <w:rPr>
                <w:rFonts w:ascii="Arial" w:hAnsi="Arial" w:cs="Arial"/>
                <w:color w:val="000000"/>
                <w:sz w:val="20"/>
                <w:szCs w:val="20"/>
              </w:rPr>
              <w:t>Rental, Hiring and Real Estate Services</w:t>
            </w:r>
          </w:p>
        </w:tc>
        <w:tc>
          <w:tcPr>
            <w:tcW w:w="1741" w:type="dxa"/>
            <w:shd w:val="clear" w:color="auto" w:fill="DAEEF3" w:themeFill="accent5" w:themeFillTint="33"/>
            <w:noWrap/>
            <w:vAlign w:val="center"/>
          </w:tcPr>
          <w:p w:rsidR="0084055C" w:rsidRPr="00202A9F" w:rsidRDefault="0084055C" w:rsidP="0084055C">
            <w:pPr>
              <w:ind w:left="360" w:hanging="326"/>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02A9F">
              <w:rPr>
                <w:rFonts w:ascii="Arial" w:hAnsi="Arial" w:cs="Arial"/>
                <w:color w:val="000000"/>
                <w:sz w:val="20"/>
                <w:szCs w:val="20"/>
              </w:rPr>
              <w:t>1.</w:t>
            </w:r>
            <w:r>
              <w:rPr>
                <w:rFonts w:ascii="Arial" w:hAnsi="Arial" w:cs="Arial"/>
                <w:color w:val="000000"/>
                <w:sz w:val="20"/>
                <w:szCs w:val="20"/>
              </w:rPr>
              <w:t>7</w:t>
            </w:r>
            <w:r w:rsidRPr="00202A9F">
              <w:rPr>
                <w:rFonts w:ascii="Arial" w:hAnsi="Arial" w:cs="Arial"/>
                <w:color w:val="000000"/>
                <w:sz w:val="20"/>
                <w:szCs w:val="20"/>
              </w:rPr>
              <w:t>%</w:t>
            </w:r>
          </w:p>
        </w:tc>
        <w:tc>
          <w:tcPr>
            <w:tcW w:w="1668" w:type="dxa"/>
            <w:shd w:val="clear" w:color="auto" w:fill="DAEEF3" w:themeFill="accent5" w:themeFillTint="33"/>
            <w:noWrap/>
            <w:vAlign w:val="center"/>
          </w:tcPr>
          <w:p w:rsidR="0084055C" w:rsidRPr="00893A59" w:rsidRDefault="0084055C" w:rsidP="0084055C">
            <w:pPr>
              <w:ind w:left="360" w:hanging="224"/>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1.7%</w:t>
            </w:r>
          </w:p>
        </w:tc>
        <w:tc>
          <w:tcPr>
            <w:tcW w:w="1977" w:type="dxa"/>
            <w:shd w:val="clear" w:color="auto" w:fill="DAEEF3" w:themeFill="accent5" w:themeFillTint="33"/>
            <w:vAlign w:val="center"/>
          </w:tcPr>
          <w:p w:rsidR="0084055C" w:rsidRPr="0084055C" w:rsidRDefault="0084055C" w:rsidP="0084055C">
            <w:pPr>
              <w:ind w:left="360" w:hanging="33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29.4%</w:t>
            </w:r>
          </w:p>
        </w:tc>
      </w:tr>
      <w:tr w:rsidR="0084055C" w:rsidRPr="00202A9F" w:rsidTr="00F30B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92CDDC" w:themeFill="accent5" w:themeFillTint="99"/>
            <w:vAlign w:val="center"/>
          </w:tcPr>
          <w:p w:rsidR="0084055C" w:rsidRPr="00202A9F" w:rsidRDefault="0084055C" w:rsidP="0084055C">
            <w:pPr>
              <w:rPr>
                <w:rFonts w:ascii="Arial" w:hAnsi="Arial" w:cs="Arial"/>
                <w:color w:val="000000"/>
                <w:sz w:val="20"/>
                <w:szCs w:val="20"/>
              </w:rPr>
            </w:pPr>
            <w:r w:rsidRPr="00202A9F">
              <w:rPr>
                <w:rFonts w:ascii="Arial" w:hAnsi="Arial" w:cs="Arial"/>
                <w:color w:val="000000"/>
                <w:sz w:val="20"/>
                <w:szCs w:val="20"/>
              </w:rPr>
              <w:t>Arts and Recreation Services</w:t>
            </w:r>
          </w:p>
        </w:tc>
        <w:tc>
          <w:tcPr>
            <w:tcW w:w="1741" w:type="dxa"/>
            <w:shd w:val="clear" w:color="auto" w:fill="92CDDC" w:themeFill="accent5" w:themeFillTint="99"/>
            <w:noWrap/>
            <w:vAlign w:val="center"/>
          </w:tcPr>
          <w:p w:rsidR="0084055C" w:rsidRPr="00202A9F" w:rsidRDefault="0084055C" w:rsidP="0084055C">
            <w:pPr>
              <w:ind w:left="360" w:hanging="32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02A9F">
              <w:rPr>
                <w:rFonts w:ascii="Arial" w:hAnsi="Arial" w:cs="Arial"/>
                <w:color w:val="000000"/>
                <w:sz w:val="20"/>
                <w:szCs w:val="20"/>
              </w:rPr>
              <w:t>2.0%</w:t>
            </w:r>
          </w:p>
        </w:tc>
        <w:tc>
          <w:tcPr>
            <w:tcW w:w="1668" w:type="dxa"/>
            <w:shd w:val="clear" w:color="auto" w:fill="92CDDC" w:themeFill="accent5" w:themeFillTint="99"/>
            <w:noWrap/>
            <w:vAlign w:val="center"/>
          </w:tcPr>
          <w:p w:rsidR="0084055C" w:rsidRPr="00893A59" w:rsidRDefault="0084055C" w:rsidP="0084055C">
            <w:pPr>
              <w:ind w:left="360" w:hanging="224"/>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1.9%</w:t>
            </w:r>
          </w:p>
        </w:tc>
        <w:tc>
          <w:tcPr>
            <w:tcW w:w="1977" w:type="dxa"/>
            <w:shd w:val="clear" w:color="auto" w:fill="92CDDC" w:themeFill="accent5" w:themeFillTint="99"/>
            <w:vAlign w:val="center"/>
          </w:tcPr>
          <w:p w:rsidR="0084055C" w:rsidRPr="0084055C" w:rsidRDefault="0084055C" w:rsidP="0084055C">
            <w:pPr>
              <w:ind w:left="360" w:hanging="33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22.5%</w:t>
            </w:r>
          </w:p>
        </w:tc>
      </w:tr>
      <w:tr w:rsidR="0084055C" w:rsidRPr="00202A9F" w:rsidTr="00F30BCA">
        <w:trPr>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DAEEF3" w:themeFill="accent5" w:themeFillTint="33"/>
            <w:vAlign w:val="center"/>
          </w:tcPr>
          <w:p w:rsidR="0084055C" w:rsidRPr="00202A9F" w:rsidRDefault="0084055C" w:rsidP="0084055C">
            <w:pPr>
              <w:rPr>
                <w:rFonts w:ascii="Arial" w:hAnsi="Arial" w:cs="Arial"/>
                <w:color w:val="000000"/>
                <w:sz w:val="20"/>
                <w:szCs w:val="20"/>
              </w:rPr>
            </w:pPr>
            <w:r w:rsidRPr="00202A9F">
              <w:rPr>
                <w:rFonts w:ascii="Arial" w:hAnsi="Arial" w:cs="Arial"/>
                <w:color w:val="000000"/>
                <w:sz w:val="20"/>
                <w:szCs w:val="20"/>
              </w:rPr>
              <w:t>Manufacturing</w:t>
            </w:r>
          </w:p>
        </w:tc>
        <w:tc>
          <w:tcPr>
            <w:tcW w:w="1741" w:type="dxa"/>
            <w:shd w:val="clear" w:color="auto" w:fill="DAEEF3" w:themeFill="accent5" w:themeFillTint="33"/>
            <w:noWrap/>
            <w:vAlign w:val="center"/>
          </w:tcPr>
          <w:p w:rsidR="0084055C" w:rsidRPr="00202A9F" w:rsidRDefault="0084055C" w:rsidP="0084055C">
            <w:pPr>
              <w:ind w:left="360" w:hanging="326"/>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6.8</w:t>
            </w:r>
            <w:r w:rsidRPr="00202A9F">
              <w:rPr>
                <w:rFonts w:ascii="Arial" w:hAnsi="Arial" w:cs="Arial"/>
                <w:color w:val="000000"/>
                <w:sz w:val="20"/>
                <w:szCs w:val="20"/>
              </w:rPr>
              <w:t>%</w:t>
            </w:r>
          </w:p>
        </w:tc>
        <w:tc>
          <w:tcPr>
            <w:tcW w:w="1668" w:type="dxa"/>
            <w:shd w:val="clear" w:color="auto" w:fill="DAEEF3" w:themeFill="accent5" w:themeFillTint="33"/>
            <w:noWrap/>
            <w:vAlign w:val="center"/>
          </w:tcPr>
          <w:p w:rsidR="0084055C" w:rsidRPr="00893A59" w:rsidRDefault="0084055C" w:rsidP="0084055C">
            <w:pPr>
              <w:ind w:left="360" w:hanging="224"/>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7.1%</w:t>
            </w:r>
          </w:p>
        </w:tc>
        <w:tc>
          <w:tcPr>
            <w:tcW w:w="1977" w:type="dxa"/>
            <w:shd w:val="clear" w:color="auto" w:fill="DAEEF3" w:themeFill="accent5" w:themeFillTint="33"/>
            <w:vAlign w:val="center"/>
          </w:tcPr>
          <w:p w:rsidR="0084055C" w:rsidRPr="0084055C" w:rsidRDefault="0084055C" w:rsidP="0084055C">
            <w:pPr>
              <w:ind w:left="360" w:hanging="33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20.8%</w:t>
            </w:r>
          </w:p>
        </w:tc>
      </w:tr>
      <w:tr w:rsidR="00601318" w:rsidRPr="00202A9F" w:rsidTr="00F30B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92CDDC" w:themeFill="accent5" w:themeFillTint="99"/>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Construction</w:t>
            </w:r>
          </w:p>
        </w:tc>
        <w:tc>
          <w:tcPr>
            <w:tcW w:w="1741" w:type="dxa"/>
            <w:shd w:val="clear" w:color="auto" w:fill="92CDDC" w:themeFill="accent5" w:themeFillTint="99"/>
            <w:noWrap/>
            <w:vAlign w:val="center"/>
          </w:tcPr>
          <w:p w:rsidR="00601318" w:rsidRPr="00202A9F" w:rsidRDefault="00601318" w:rsidP="00601318">
            <w:pPr>
              <w:ind w:left="360" w:hanging="32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w:t>
            </w:r>
            <w:r w:rsidRPr="00202A9F">
              <w:rPr>
                <w:rFonts w:ascii="Arial" w:hAnsi="Arial" w:cs="Arial"/>
                <w:color w:val="000000"/>
                <w:sz w:val="20"/>
                <w:szCs w:val="20"/>
              </w:rPr>
              <w:t>.</w:t>
            </w:r>
            <w:r>
              <w:rPr>
                <w:rFonts w:ascii="Arial" w:hAnsi="Arial" w:cs="Arial"/>
                <w:color w:val="000000"/>
                <w:sz w:val="20"/>
                <w:szCs w:val="20"/>
              </w:rPr>
              <w:t>1</w:t>
            </w:r>
            <w:r w:rsidRPr="00202A9F">
              <w:rPr>
                <w:rFonts w:ascii="Arial" w:hAnsi="Arial" w:cs="Arial"/>
                <w:color w:val="000000"/>
                <w:sz w:val="20"/>
                <w:szCs w:val="20"/>
              </w:rPr>
              <w:t>%</w:t>
            </w:r>
          </w:p>
        </w:tc>
        <w:tc>
          <w:tcPr>
            <w:tcW w:w="1668" w:type="dxa"/>
            <w:shd w:val="clear" w:color="auto" w:fill="92CDDC" w:themeFill="accent5" w:themeFillTint="99"/>
            <w:noWrap/>
            <w:vAlign w:val="center"/>
          </w:tcPr>
          <w:p w:rsidR="00601318" w:rsidRPr="00893A59" w:rsidRDefault="00601318" w:rsidP="00601318">
            <w:pPr>
              <w:ind w:left="360" w:hanging="224"/>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9.1%</w:t>
            </w:r>
          </w:p>
        </w:tc>
        <w:tc>
          <w:tcPr>
            <w:tcW w:w="1977" w:type="dxa"/>
            <w:shd w:val="clear" w:color="auto" w:fill="92CDDC" w:themeFill="accent5" w:themeFillTint="99"/>
            <w:vAlign w:val="center"/>
          </w:tcPr>
          <w:p w:rsidR="00601318" w:rsidRPr="0084055C" w:rsidRDefault="00601318" w:rsidP="00601318">
            <w:pPr>
              <w:ind w:left="360" w:hanging="33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16.6%</w:t>
            </w:r>
          </w:p>
        </w:tc>
      </w:tr>
      <w:tr w:rsidR="00601318" w:rsidRPr="00202A9F" w:rsidTr="00F30BCA">
        <w:trPr>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DAEEF3" w:themeFill="accent5" w:themeFillTint="33"/>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Wholesale Trade</w:t>
            </w:r>
          </w:p>
        </w:tc>
        <w:tc>
          <w:tcPr>
            <w:tcW w:w="1741" w:type="dxa"/>
            <w:shd w:val="clear" w:color="auto" w:fill="DAEEF3" w:themeFill="accent5" w:themeFillTint="33"/>
            <w:noWrap/>
            <w:vAlign w:val="center"/>
          </w:tcPr>
          <w:p w:rsidR="00601318" w:rsidRPr="00202A9F" w:rsidRDefault="00601318" w:rsidP="00601318">
            <w:pPr>
              <w:ind w:left="360" w:hanging="326"/>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r w:rsidRPr="00202A9F">
              <w:rPr>
                <w:rFonts w:ascii="Arial" w:hAnsi="Arial" w:cs="Arial"/>
                <w:color w:val="000000"/>
                <w:sz w:val="20"/>
                <w:szCs w:val="20"/>
              </w:rPr>
              <w:t>%</w:t>
            </w:r>
          </w:p>
        </w:tc>
        <w:tc>
          <w:tcPr>
            <w:tcW w:w="1668" w:type="dxa"/>
            <w:shd w:val="clear" w:color="auto" w:fill="DAEEF3" w:themeFill="accent5" w:themeFillTint="33"/>
            <w:noWrap/>
            <w:vAlign w:val="center"/>
          </w:tcPr>
          <w:p w:rsidR="00601318" w:rsidRPr="00893A59" w:rsidRDefault="00601318" w:rsidP="00601318">
            <w:pPr>
              <w:ind w:left="360" w:hanging="224"/>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3.2%</w:t>
            </w:r>
          </w:p>
        </w:tc>
        <w:tc>
          <w:tcPr>
            <w:tcW w:w="1977" w:type="dxa"/>
            <w:shd w:val="clear" w:color="auto" w:fill="DAEEF3" w:themeFill="accent5" w:themeFillTint="33"/>
            <w:vAlign w:val="center"/>
          </w:tcPr>
          <w:p w:rsidR="00601318" w:rsidRPr="0084055C" w:rsidRDefault="00601318" w:rsidP="00601318">
            <w:pPr>
              <w:ind w:left="360" w:hanging="33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16.1%</w:t>
            </w:r>
          </w:p>
        </w:tc>
      </w:tr>
      <w:tr w:rsidR="00601318" w:rsidRPr="00202A9F" w:rsidTr="00F30B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92CDDC" w:themeFill="accent5" w:themeFillTint="99"/>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Transport, Postal and Warehousing</w:t>
            </w:r>
          </w:p>
        </w:tc>
        <w:tc>
          <w:tcPr>
            <w:tcW w:w="1741" w:type="dxa"/>
            <w:shd w:val="clear" w:color="auto" w:fill="92CDDC" w:themeFill="accent5" w:themeFillTint="99"/>
            <w:noWrap/>
            <w:vAlign w:val="center"/>
          </w:tcPr>
          <w:p w:rsidR="00601318" w:rsidRPr="00202A9F" w:rsidRDefault="00601318" w:rsidP="00601318">
            <w:pPr>
              <w:ind w:left="360" w:hanging="32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02A9F">
              <w:rPr>
                <w:rFonts w:ascii="Arial" w:hAnsi="Arial" w:cs="Arial"/>
                <w:color w:val="000000"/>
                <w:sz w:val="20"/>
                <w:szCs w:val="20"/>
              </w:rPr>
              <w:t>4.</w:t>
            </w:r>
            <w:r>
              <w:rPr>
                <w:rFonts w:ascii="Arial" w:hAnsi="Arial" w:cs="Arial"/>
                <w:color w:val="000000"/>
                <w:sz w:val="20"/>
                <w:szCs w:val="20"/>
              </w:rPr>
              <w:t>7</w:t>
            </w:r>
            <w:r w:rsidRPr="00202A9F">
              <w:rPr>
                <w:rFonts w:ascii="Arial" w:hAnsi="Arial" w:cs="Arial"/>
                <w:color w:val="000000"/>
                <w:sz w:val="20"/>
                <w:szCs w:val="20"/>
              </w:rPr>
              <w:t>%</w:t>
            </w:r>
          </w:p>
        </w:tc>
        <w:tc>
          <w:tcPr>
            <w:tcW w:w="1668" w:type="dxa"/>
            <w:shd w:val="clear" w:color="auto" w:fill="92CDDC" w:themeFill="accent5" w:themeFillTint="99"/>
            <w:noWrap/>
            <w:vAlign w:val="center"/>
          </w:tcPr>
          <w:p w:rsidR="00601318" w:rsidRPr="00893A59" w:rsidRDefault="00601318" w:rsidP="00601318">
            <w:pPr>
              <w:ind w:left="360" w:hanging="224"/>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5.2%</w:t>
            </w:r>
          </w:p>
        </w:tc>
        <w:tc>
          <w:tcPr>
            <w:tcW w:w="1977" w:type="dxa"/>
            <w:shd w:val="clear" w:color="auto" w:fill="92CDDC" w:themeFill="accent5" w:themeFillTint="99"/>
            <w:vAlign w:val="center"/>
          </w:tcPr>
          <w:p w:rsidR="00601318" w:rsidRPr="0084055C" w:rsidRDefault="00601318" w:rsidP="00601318">
            <w:pPr>
              <w:ind w:left="360" w:hanging="33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12.7%</w:t>
            </w:r>
          </w:p>
        </w:tc>
      </w:tr>
      <w:tr w:rsidR="00601318" w:rsidRPr="00202A9F" w:rsidTr="00F30BCA">
        <w:trPr>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DAEEF3" w:themeFill="accent5" w:themeFillTint="33"/>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Public Administration and Safety</w:t>
            </w:r>
          </w:p>
        </w:tc>
        <w:tc>
          <w:tcPr>
            <w:tcW w:w="1741" w:type="dxa"/>
            <w:shd w:val="clear" w:color="auto" w:fill="DAEEF3" w:themeFill="accent5" w:themeFillTint="33"/>
            <w:noWrap/>
            <w:vAlign w:val="center"/>
          </w:tcPr>
          <w:p w:rsidR="00601318" w:rsidRPr="00202A9F" w:rsidRDefault="00601318" w:rsidP="00601318">
            <w:pPr>
              <w:ind w:left="360" w:hanging="326"/>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6.4</w:t>
            </w:r>
            <w:r w:rsidRPr="00202A9F">
              <w:rPr>
                <w:rFonts w:ascii="Arial" w:hAnsi="Arial" w:cs="Arial"/>
                <w:color w:val="000000"/>
                <w:sz w:val="20"/>
                <w:szCs w:val="20"/>
              </w:rPr>
              <w:t>%</w:t>
            </w:r>
          </w:p>
        </w:tc>
        <w:tc>
          <w:tcPr>
            <w:tcW w:w="1668" w:type="dxa"/>
            <w:shd w:val="clear" w:color="auto" w:fill="DAEEF3" w:themeFill="accent5" w:themeFillTint="33"/>
            <w:noWrap/>
            <w:vAlign w:val="center"/>
          </w:tcPr>
          <w:p w:rsidR="00601318" w:rsidRPr="00893A59" w:rsidRDefault="00601318" w:rsidP="00601318">
            <w:pPr>
              <w:ind w:left="360" w:hanging="224"/>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6.5%</w:t>
            </w:r>
          </w:p>
        </w:tc>
        <w:tc>
          <w:tcPr>
            <w:tcW w:w="1977" w:type="dxa"/>
            <w:shd w:val="clear" w:color="auto" w:fill="DAEEF3" w:themeFill="accent5" w:themeFillTint="33"/>
            <w:vAlign w:val="center"/>
          </w:tcPr>
          <w:p w:rsidR="00601318" w:rsidRPr="0084055C" w:rsidRDefault="00601318" w:rsidP="00601318">
            <w:pPr>
              <w:ind w:left="360" w:hanging="33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10.9%</w:t>
            </w:r>
          </w:p>
        </w:tc>
      </w:tr>
      <w:tr w:rsidR="00601318" w:rsidRPr="00202A9F" w:rsidTr="00F30B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92CDDC" w:themeFill="accent5" w:themeFillTint="99"/>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Education and Training</w:t>
            </w:r>
          </w:p>
        </w:tc>
        <w:tc>
          <w:tcPr>
            <w:tcW w:w="1741" w:type="dxa"/>
            <w:shd w:val="clear" w:color="auto" w:fill="92CDDC" w:themeFill="accent5" w:themeFillTint="99"/>
            <w:noWrap/>
            <w:vAlign w:val="center"/>
          </w:tcPr>
          <w:p w:rsidR="00601318" w:rsidRPr="00202A9F" w:rsidRDefault="00601318" w:rsidP="00601318">
            <w:pPr>
              <w:ind w:left="360" w:hanging="32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8.2</w:t>
            </w:r>
            <w:r w:rsidRPr="00202A9F">
              <w:rPr>
                <w:rFonts w:ascii="Arial" w:hAnsi="Arial" w:cs="Arial"/>
                <w:color w:val="000000"/>
                <w:sz w:val="20"/>
                <w:szCs w:val="20"/>
              </w:rPr>
              <w:t>%</w:t>
            </w:r>
          </w:p>
        </w:tc>
        <w:tc>
          <w:tcPr>
            <w:tcW w:w="1668" w:type="dxa"/>
            <w:shd w:val="clear" w:color="auto" w:fill="92CDDC" w:themeFill="accent5" w:themeFillTint="99"/>
            <w:noWrap/>
            <w:vAlign w:val="center"/>
          </w:tcPr>
          <w:p w:rsidR="00601318" w:rsidRPr="00893A59" w:rsidRDefault="00601318" w:rsidP="00601318">
            <w:pPr>
              <w:ind w:left="360" w:hanging="224"/>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8.3%</w:t>
            </w:r>
          </w:p>
        </w:tc>
        <w:tc>
          <w:tcPr>
            <w:tcW w:w="1977" w:type="dxa"/>
            <w:shd w:val="clear" w:color="auto" w:fill="92CDDC" w:themeFill="accent5" w:themeFillTint="99"/>
            <w:vAlign w:val="center"/>
          </w:tcPr>
          <w:p w:rsidR="00601318" w:rsidRPr="0084055C" w:rsidRDefault="00601318" w:rsidP="00601318">
            <w:pPr>
              <w:ind w:left="360" w:hanging="33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10.0%</w:t>
            </w:r>
          </w:p>
        </w:tc>
      </w:tr>
      <w:tr w:rsidR="00601318" w:rsidRPr="00202A9F" w:rsidTr="00F30BCA">
        <w:trPr>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DAEEF3" w:themeFill="accent5" w:themeFillTint="33"/>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Professional, Scientific and Technical Services</w:t>
            </w:r>
          </w:p>
        </w:tc>
        <w:tc>
          <w:tcPr>
            <w:tcW w:w="1741" w:type="dxa"/>
            <w:shd w:val="clear" w:color="auto" w:fill="DAEEF3" w:themeFill="accent5" w:themeFillTint="33"/>
            <w:noWrap/>
            <w:vAlign w:val="center"/>
          </w:tcPr>
          <w:p w:rsidR="00601318" w:rsidRPr="00202A9F" w:rsidRDefault="00601318" w:rsidP="00601318">
            <w:pPr>
              <w:ind w:left="360" w:hanging="326"/>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02A9F">
              <w:rPr>
                <w:rFonts w:ascii="Arial" w:hAnsi="Arial" w:cs="Arial"/>
                <w:color w:val="000000"/>
                <w:sz w:val="20"/>
                <w:szCs w:val="20"/>
              </w:rPr>
              <w:t>7.1%</w:t>
            </w:r>
          </w:p>
        </w:tc>
        <w:tc>
          <w:tcPr>
            <w:tcW w:w="1668" w:type="dxa"/>
            <w:shd w:val="clear" w:color="auto" w:fill="DAEEF3" w:themeFill="accent5" w:themeFillTint="33"/>
            <w:noWrap/>
            <w:vAlign w:val="center"/>
          </w:tcPr>
          <w:p w:rsidR="00601318" w:rsidRPr="00893A59" w:rsidRDefault="00601318" w:rsidP="00601318">
            <w:pPr>
              <w:ind w:left="360" w:hanging="224"/>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8.4%</w:t>
            </w:r>
          </w:p>
        </w:tc>
        <w:tc>
          <w:tcPr>
            <w:tcW w:w="1977" w:type="dxa"/>
            <w:shd w:val="clear" w:color="auto" w:fill="DAEEF3" w:themeFill="accent5" w:themeFillTint="33"/>
            <w:vAlign w:val="center"/>
          </w:tcPr>
          <w:p w:rsidR="00601318" w:rsidRPr="0084055C" w:rsidRDefault="00601318" w:rsidP="00601318">
            <w:pPr>
              <w:ind w:left="360" w:hanging="33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8.0%</w:t>
            </w:r>
          </w:p>
        </w:tc>
      </w:tr>
      <w:tr w:rsidR="00601318" w:rsidRPr="00202A9F" w:rsidTr="00F30B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92CDDC" w:themeFill="accent5" w:themeFillTint="99"/>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Information, Media and Telecommunications</w:t>
            </w:r>
          </w:p>
        </w:tc>
        <w:tc>
          <w:tcPr>
            <w:tcW w:w="1741" w:type="dxa"/>
            <w:shd w:val="clear" w:color="auto" w:fill="92CDDC" w:themeFill="accent5" w:themeFillTint="99"/>
            <w:noWrap/>
            <w:vAlign w:val="center"/>
          </w:tcPr>
          <w:p w:rsidR="00601318" w:rsidRPr="00202A9F" w:rsidRDefault="00601318" w:rsidP="00601318">
            <w:pPr>
              <w:ind w:left="360" w:hanging="32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Pr="00202A9F">
              <w:rPr>
                <w:rFonts w:ascii="Arial" w:hAnsi="Arial" w:cs="Arial"/>
                <w:color w:val="000000"/>
                <w:sz w:val="20"/>
                <w:szCs w:val="20"/>
              </w:rPr>
              <w:t>.</w:t>
            </w:r>
            <w:r>
              <w:rPr>
                <w:rFonts w:ascii="Arial" w:hAnsi="Arial" w:cs="Arial"/>
                <w:color w:val="000000"/>
                <w:sz w:val="20"/>
                <w:szCs w:val="20"/>
              </w:rPr>
              <w:t>9</w:t>
            </w:r>
            <w:r w:rsidRPr="00202A9F">
              <w:rPr>
                <w:rFonts w:ascii="Arial" w:hAnsi="Arial" w:cs="Arial"/>
                <w:color w:val="000000"/>
                <w:sz w:val="20"/>
                <w:szCs w:val="20"/>
              </w:rPr>
              <w:t>%</w:t>
            </w:r>
          </w:p>
        </w:tc>
        <w:tc>
          <w:tcPr>
            <w:tcW w:w="1668" w:type="dxa"/>
            <w:shd w:val="clear" w:color="auto" w:fill="92CDDC" w:themeFill="accent5" w:themeFillTint="99"/>
            <w:noWrap/>
            <w:vAlign w:val="center"/>
          </w:tcPr>
          <w:p w:rsidR="00601318" w:rsidRPr="00893A59" w:rsidRDefault="00601318" w:rsidP="00601318">
            <w:pPr>
              <w:ind w:left="360" w:hanging="224"/>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1.7%</w:t>
            </w:r>
          </w:p>
        </w:tc>
        <w:tc>
          <w:tcPr>
            <w:tcW w:w="1977" w:type="dxa"/>
            <w:shd w:val="clear" w:color="auto" w:fill="92CDDC" w:themeFill="accent5" w:themeFillTint="99"/>
            <w:vAlign w:val="center"/>
          </w:tcPr>
          <w:p w:rsidR="00601318" w:rsidRPr="0084055C" w:rsidRDefault="00601318" w:rsidP="00601318">
            <w:pPr>
              <w:ind w:left="360" w:hanging="33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7.1%</w:t>
            </w:r>
          </w:p>
        </w:tc>
      </w:tr>
      <w:tr w:rsidR="00601318" w:rsidRPr="00202A9F" w:rsidTr="00F30BCA">
        <w:trPr>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DAEEF3" w:themeFill="accent5" w:themeFillTint="33"/>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Financial and Insurance Services</w:t>
            </w:r>
          </w:p>
        </w:tc>
        <w:tc>
          <w:tcPr>
            <w:tcW w:w="1741" w:type="dxa"/>
            <w:shd w:val="clear" w:color="auto" w:fill="DAEEF3" w:themeFill="accent5" w:themeFillTint="33"/>
            <w:noWrap/>
            <w:vAlign w:val="center"/>
          </w:tcPr>
          <w:p w:rsidR="00601318" w:rsidRPr="00202A9F" w:rsidRDefault="00601318" w:rsidP="00601318">
            <w:pPr>
              <w:ind w:left="360" w:hanging="326"/>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w:t>
            </w:r>
            <w:r w:rsidRPr="00202A9F">
              <w:rPr>
                <w:rFonts w:ascii="Arial" w:hAnsi="Arial" w:cs="Arial"/>
                <w:color w:val="000000"/>
                <w:sz w:val="20"/>
                <w:szCs w:val="20"/>
              </w:rPr>
              <w:t>%</w:t>
            </w:r>
          </w:p>
        </w:tc>
        <w:tc>
          <w:tcPr>
            <w:tcW w:w="1668" w:type="dxa"/>
            <w:shd w:val="clear" w:color="auto" w:fill="DAEEF3" w:themeFill="accent5" w:themeFillTint="33"/>
            <w:noWrap/>
            <w:vAlign w:val="center"/>
          </w:tcPr>
          <w:p w:rsidR="00601318" w:rsidRPr="00893A59" w:rsidRDefault="00601318" w:rsidP="00601318">
            <w:pPr>
              <w:ind w:left="360" w:hanging="224"/>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3.5%</w:t>
            </w:r>
          </w:p>
        </w:tc>
        <w:tc>
          <w:tcPr>
            <w:tcW w:w="1977" w:type="dxa"/>
            <w:shd w:val="clear" w:color="auto" w:fill="DAEEF3" w:themeFill="accent5" w:themeFillTint="33"/>
            <w:vAlign w:val="center"/>
          </w:tcPr>
          <w:p w:rsidR="00601318" w:rsidRPr="0084055C" w:rsidRDefault="00601318" w:rsidP="00601318">
            <w:pPr>
              <w:ind w:left="360" w:hanging="33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5.2%</w:t>
            </w:r>
          </w:p>
        </w:tc>
      </w:tr>
      <w:tr w:rsidR="00601318" w:rsidRPr="00202A9F" w:rsidTr="00F30B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92CDDC" w:themeFill="accent5" w:themeFillTint="99"/>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Electricity, Gas, Water and Waste Services</w:t>
            </w:r>
          </w:p>
        </w:tc>
        <w:tc>
          <w:tcPr>
            <w:tcW w:w="1741" w:type="dxa"/>
            <w:shd w:val="clear" w:color="auto" w:fill="92CDDC" w:themeFill="accent5" w:themeFillTint="99"/>
            <w:noWrap/>
            <w:vAlign w:val="center"/>
          </w:tcPr>
          <w:p w:rsidR="00601318" w:rsidRPr="00202A9F" w:rsidRDefault="00601318" w:rsidP="00601318">
            <w:pPr>
              <w:ind w:left="360" w:hanging="32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02A9F">
              <w:rPr>
                <w:rFonts w:ascii="Arial" w:hAnsi="Arial" w:cs="Arial"/>
                <w:color w:val="000000"/>
                <w:sz w:val="20"/>
                <w:szCs w:val="20"/>
              </w:rPr>
              <w:t>1.</w:t>
            </w:r>
            <w:r>
              <w:rPr>
                <w:rFonts w:ascii="Arial" w:hAnsi="Arial" w:cs="Arial"/>
                <w:color w:val="000000"/>
                <w:sz w:val="20"/>
                <w:szCs w:val="20"/>
              </w:rPr>
              <w:t>6</w:t>
            </w:r>
            <w:r w:rsidRPr="00202A9F">
              <w:rPr>
                <w:rFonts w:ascii="Arial" w:hAnsi="Arial" w:cs="Arial"/>
                <w:color w:val="000000"/>
                <w:sz w:val="20"/>
                <w:szCs w:val="20"/>
              </w:rPr>
              <w:t>%</w:t>
            </w:r>
          </w:p>
        </w:tc>
        <w:tc>
          <w:tcPr>
            <w:tcW w:w="1668" w:type="dxa"/>
            <w:shd w:val="clear" w:color="auto" w:fill="92CDDC" w:themeFill="accent5" w:themeFillTint="99"/>
            <w:noWrap/>
            <w:vAlign w:val="center"/>
          </w:tcPr>
          <w:p w:rsidR="00601318" w:rsidRPr="00893A59" w:rsidRDefault="00601318" w:rsidP="00601318">
            <w:pPr>
              <w:ind w:left="360" w:hanging="224"/>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1.2%</w:t>
            </w:r>
          </w:p>
        </w:tc>
        <w:tc>
          <w:tcPr>
            <w:tcW w:w="1977" w:type="dxa"/>
            <w:shd w:val="clear" w:color="auto" w:fill="92CDDC" w:themeFill="accent5" w:themeFillTint="99"/>
            <w:vAlign w:val="center"/>
          </w:tcPr>
          <w:p w:rsidR="00601318" w:rsidRPr="0084055C" w:rsidRDefault="00601318" w:rsidP="00601318">
            <w:pPr>
              <w:ind w:left="360" w:hanging="33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4.1%</w:t>
            </w:r>
          </w:p>
        </w:tc>
      </w:tr>
      <w:tr w:rsidR="00601318" w:rsidRPr="00202A9F" w:rsidTr="00F30BCA">
        <w:trPr>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DAEEF3" w:themeFill="accent5" w:themeFillTint="33"/>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Mining</w:t>
            </w:r>
          </w:p>
        </w:tc>
        <w:tc>
          <w:tcPr>
            <w:tcW w:w="1741" w:type="dxa"/>
            <w:shd w:val="clear" w:color="auto" w:fill="DAEEF3" w:themeFill="accent5" w:themeFillTint="33"/>
            <w:noWrap/>
            <w:vAlign w:val="center"/>
          </w:tcPr>
          <w:p w:rsidR="00601318" w:rsidRPr="00202A9F" w:rsidRDefault="00601318" w:rsidP="00601318">
            <w:pPr>
              <w:ind w:left="360" w:hanging="326"/>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w:t>
            </w:r>
            <w:r w:rsidRPr="00202A9F">
              <w:rPr>
                <w:rFonts w:ascii="Arial" w:hAnsi="Arial" w:cs="Arial"/>
                <w:color w:val="000000"/>
                <w:sz w:val="20"/>
                <w:szCs w:val="20"/>
              </w:rPr>
              <w:t>.</w:t>
            </w:r>
            <w:r>
              <w:rPr>
                <w:rFonts w:ascii="Arial" w:hAnsi="Arial" w:cs="Arial"/>
                <w:color w:val="000000"/>
                <w:sz w:val="20"/>
                <w:szCs w:val="20"/>
              </w:rPr>
              <w:t>3</w:t>
            </w:r>
            <w:r w:rsidRPr="00202A9F">
              <w:rPr>
                <w:rFonts w:ascii="Arial" w:hAnsi="Arial" w:cs="Arial"/>
                <w:color w:val="000000"/>
                <w:sz w:val="20"/>
                <w:szCs w:val="20"/>
              </w:rPr>
              <w:t>%</w:t>
            </w:r>
          </w:p>
        </w:tc>
        <w:tc>
          <w:tcPr>
            <w:tcW w:w="1668" w:type="dxa"/>
            <w:shd w:val="clear" w:color="auto" w:fill="DAEEF3" w:themeFill="accent5" w:themeFillTint="33"/>
            <w:noWrap/>
            <w:vAlign w:val="center"/>
          </w:tcPr>
          <w:p w:rsidR="00601318" w:rsidRPr="00893A59" w:rsidRDefault="00601318" w:rsidP="00601318">
            <w:pPr>
              <w:ind w:left="360" w:hanging="224"/>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2.0%</w:t>
            </w:r>
          </w:p>
        </w:tc>
        <w:tc>
          <w:tcPr>
            <w:tcW w:w="1977" w:type="dxa"/>
            <w:shd w:val="clear" w:color="auto" w:fill="DAEEF3" w:themeFill="accent5" w:themeFillTint="33"/>
            <w:vAlign w:val="center"/>
          </w:tcPr>
          <w:p w:rsidR="00601318" w:rsidRPr="0084055C" w:rsidRDefault="00C646D7" w:rsidP="00C646D7">
            <w:pPr>
              <w:ind w:left="360" w:hanging="33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w:t>
            </w:r>
            <w:r w:rsidR="00DF6FC2">
              <w:rPr>
                <w:rFonts w:ascii="Arial" w:hAnsi="Arial" w:cs="Arial"/>
                <w:color w:val="000000"/>
                <w:sz w:val="20"/>
                <w:szCs w:val="20"/>
              </w:rPr>
              <w:t>%</w:t>
            </w:r>
          </w:p>
        </w:tc>
      </w:tr>
      <w:tr w:rsidR="00601318" w:rsidRPr="00202A9F" w:rsidTr="00F30B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92CDDC" w:themeFill="accent5" w:themeFillTint="99"/>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Agriculture, Forestry and Fishing</w:t>
            </w:r>
          </w:p>
        </w:tc>
        <w:tc>
          <w:tcPr>
            <w:tcW w:w="1741" w:type="dxa"/>
            <w:shd w:val="clear" w:color="auto" w:fill="92CDDC" w:themeFill="accent5" w:themeFillTint="99"/>
            <w:noWrap/>
            <w:vAlign w:val="center"/>
          </w:tcPr>
          <w:p w:rsidR="00601318" w:rsidRPr="00202A9F" w:rsidRDefault="00601318" w:rsidP="00601318">
            <w:pPr>
              <w:ind w:left="360" w:hanging="326"/>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02A9F">
              <w:rPr>
                <w:rFonts w:ascii="Arial" w:hAnsi="Arial" w:cs="Arial"/>
                <w:color w:val="000000"/>
                <w:sz w:val="20"/>
                <w:szCs w:val="20"/>
              </w:rPr>
              <w:t>3.</w:t>
            </w:r>
            <w:r>
              <w:rPr>
                <w:rFonts w:ascii="Arial" w:hAnsi="Arial" w:cs="Arial"/>
                <w:color w:val="000000"/>
                <w:sz w:val="20"/>
                <w:szCs w:val="20"/>
              </w:rPr>
              <w:t>3</w:t>
            </w:r>
            <w:r w:rsidRPr="00202A9F">
              <w:rPr>
                <w:rFonts w:ascii="Arial" w:hAnsi="Arial" w:cs="Arial"/>
                <w:color w:val="000000"/>
                <w:sz w:val="20"/>
                <w:szCs w:val="20"/>
              </w:rPr>
              <w:t>%</w:t>
            </w:r>
          </w:p>
        </w:tc>
        <w:tc>
          <w:tcPr>
            <w:tcW w:w="1668" w:type="dxa"/>
            <w:shd w:val="clear" w:color="auto" w:fill="92CDDC" w:themeFill="accent5" w:themeFillTint="99"/>
            <w:noWrap/>
            <w:vAlign w:val="center"/>
          </w:tcPr>
          <w:p w:rsidR="00601318" w:rsidRPr="00893A59" w:rsidRDefault="00601318" w:rsidP="00601318">
            <w:pPr>
              <w:ind w:left="360" w:hanging="224"/>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7C6134">
              <w:rPr>
                <w:rFonts w:ascii="Arial" w:hAnsi="Arial" w:cs="Arial"/>
                <w:color w:val="000000"/>
                <w:sz w:val="20"/>
                <w:szCs w:val="20"/>
              </w:rPr>
              <w:t>2.6%</w:t>
            </w:r>
          </w:p>
        </w:tc>
        <w:tc>
          <w:tcPr>
            <w:tcW w:w="1977" w:type="dxa"/>
            <w:shd w:val="clear" w:color="auto" w:fill="92CDDC" w:themeFill="accent5" w:themeFillTint="99"/>
            <w:vAlign w:val="center"/>
          </w:tcPr>
          <w:p w:rsidR="00601318" w:rsidRPr="0084055C" w:rsidRDefault="00601318" w:rsidP="00601318">
            <w:pPr>
              <w:ind w:left="360" w:hanging="33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4055C">
              <w:rPr>
                <w:rFonts w:ascii="Arial" w:hAnsi="Arial" w:cs="Arial"/>
                <w:color w:val="000000"/>
                <w:sz w:val="20"/>
                <w:szCs w:val="20"/>
              </w:rPr>
              <w:t>N/A</w:t>
            </w:r>
            <w:r w:rsidRPr="0084055C">
              <w:rPr>
                <w:sz w:val="20"/>
                <w:szCs w:val="20"/>
                <w:vertAlign w:val="superscript"/>
              </w:rPr>
              <w:sym w:font="Wingdings 2" w:char="F085"/>
            </w:r>
          </w:p>
        </w:tc>
      </w:tr>
      <w:tr w:rsidR="00601318" w:rsidRPr="00202A9F" w:rsidTr="00F30BCA">
        <w:trPr>
          <w:trHeight w:val="227"/>
        </w:trPr>
        <w:tc>
          <w:tcPr>
            <w:cnfStyle w:val="001000000000" w:firstRow="0" w:lastRow="0" w:firstColumn="1" w:lastColumn="0" w:oddVBand="0" w:evenVBand="0" w:oddHBand="0" w:evenHBand="0" w:firstRowFirstColumn="0" w:firstRowLastColumn="0" w:lastRowFirstColumn="0" w:lastRowLastColumn="0"/>
            <w:tcW w:w="4786" w:type="dxa"/>
            <w:shd w:val="clear" w:color="auto" w:fill="DAEEF3" w:themeFill="accent5" w:themeFillTint="33"/>
            <w:vAlign w:val="center"/>
          </w:tcPr>
          <w:p w:rsidR="00601318" w:rsidRPr="00202A9F" w:rsidRDefault="00601318" w:rsidP="00601318">
            <w:pPr>
              <w:rPr>
                <w:rFonts w:ascii="Arial" w:hAnsi="Arial" w:cs="Arial"/>
                <w:color w:val="000000"/>
                <w:sz w:val="20"/>
                <w:szCs w:val="20"/>
              </w:rPr>
            </w:pPr>
            <w:r w:rsidRPr="00202A9F">
              <w:rPr>
                <w:rFonts w:ascii="Arial" w:hAnsi="Arial" w:cs="Arial"/>
                <w:color w:val="000000"/>
                <w:sz w:val="20"/>
                <w:szCs w:val="20"/>
              </w:rPr>
              <w:t>All industries</w:t>
            </w:r>
          </w:p>
        </w:tc>
        <w:tc>
          <w:tcPr>
            <w:tcW w:w="1741" w:type="dxa"/>
            <w:shd w:val="clear" w:color="auto" w:fill="DAEEF3" w:themeFill="accent5" w:themeFillTint="33"/>
            <w:noWrap/>
            <w:vAlign w:val="center"/>
          </w:tcPr>
          <w:p w:rsidR="00601318" w:rsidRPr="00202A9F" w:rsidRDefault="00601318" w:rsidP="00601318">
            <w:pPr>
              <w:ind w:left="360" w:hanging="326"/>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202A9F">
              <w:rPr>
                <w:rFonts w:ascii="Arial" w:hAnsi="Arial" w:cs="Arial"/>
                <w:b/>
                <w:bCs/>
                <w:color w:val="000000"/>
                <w:sz w:val="20"/>
                <w:szCs w:val="20"/>
              </w:rPr>
              <w:t>100.0%</w:t>
            </w:r>
          </w:p>
        </w:tc>
        <w:tc>
          <w:tcPr>
            <w:tcW w:w="1668" w:type="dxa"/>
            <w:shd w:val="clear" w:color="auto" w:fill="DAEEF3" w:themeFill="accent5" w:themeFillTint="33"/>
            <w:noWrap/>
            <w:vAlign w:val="center"/>
          </w:tcPr>
          <w:p w:rsidR="00601318" w:rsidRPr="00893A59" w:rsidRDefault="00601318" w:rsidP="00601318">
            <w:pPr>
              <w:ind w:left="360" w:hanging="224"/>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sidRPr="007C6134">
              <w:rPr>
                <w:rFonts w:ascii="Arial" w:hAnsi="Arial" w:cs="Arial"/>
                <w:b/>
                <w:bCs/>
                <w:color w:val="000000"/>
                <w:sz w:val="20"/>
                <w:szCs w:val="20"/>
              </w:rPr>
              <w:t>100.0%</w:t>
            </w:r>
          </w:p>
        </w:tc>
        <w:tc>
          <w:tcPr>
            <w:tcW w:w="1977" w:type="dxa"/>
            <w:shd w:val="clear" w:color="auto" w:fill="DAEEF3" w:themeFill="accent5" w:themeFillTint="33"/>
            <w:vAlign w:val="center"/>
          </w:tcPr>
          <w:p w:rsidR="00601318" w:rsidRPr="0084055C" w:rsidRDefault="00601318" w:rsidP="00601318">
            <w:pPr>
              <w:ind w:left="360" w:hanging="333"/>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84055C">
              <w:rPr>
                <w:rFonts w:ascii="Arial" w:hAnsi="Arial" w:cs="Arial"/>
                <w:b/>
                <w:color w:val="000000"/>
                <w:sz w:val="20"/>
                <w:szCs w:val="20"/>
              </w:rPr>
              <w:t>22.5%</w:t>
            </w:r>
          </w:p>
        </w:tc>
      </w:tr>
    </w:tbl>
    <w:p w:rsidR="001F726F" w:rsidRDefault="001F726F" w:rsidP="0046579E">
      <w:pPr>
        <w:tabs>
          <w:tab w:val="num" w:pos="142"/>
        </w:tabs>
        <w:spacing w:after="0" w:line="240" w:lineRule="auto"/>
        <w:ind w:right="-654"/>
        <w:jc w:val="both"/>
        <w:rPr>
          <w:rFonts w:ascii="Arial" w:eastAsia="Times New Roman" w:hAnsi="Arial" w:cs="Arial"/>
          <w:color w:val="000000"/>
          <w:sz w:val="16"/>
          <w:szCs w:val="16"/>
          <w:lang w:eastAsia="en-AU"/>
        </w:rPr>
      </w:pPr>
      <w:r w:rsidRPr="000F21B3">
        <w:rPr>
          <w:rFonts w:ascii="Arial" w:hAnsi="Arial" w:cs="Arial"/>
          <w:sz w:val="16"/>
          <w:szCs w:val="16"/>
          <w:vertAlign w:val="superscript"/>
        </w:rPr>
        <w:sym w:font="Wingdings 2" w:char="F085"/>
      </w:r>
      <w:r w:rsidRPr="000F21B3">
        <w:rPr>
          <w:rFonts w:ascii="Arial" w:hAnsi="Arial" w:cs="Arial"/>
          <w:sz w:val="16"/>
          <w:szCs w:val="16"/>
          <w:vertAlign w:val="superscript"/>
        </w:rPr>
        <w:t xml:space="preserve"> </w:t>
      </w:r>
      <w:r w:rsidRPr="000F21B3">
        <w:rPr>
          <w:rFonts w:ascii="Arial" w:eastAsia="Times New Roman" w:hAnsi="Arial" w:cs="Arial"/>
          <w:color w:val="000000"/>
          <w:sz w:val="16"/>
          <w:szCs w:val="16"/>
          <w:lang w:eastAsia="en-AU"/>
        </w:rPr>
        <w:t xml:space="preserve">N/A: Enterprises primarily engaged in agriculture, forestry and fishing are outside the scope of the ABS </w:t>
      </w:r>
      <w:r w:rsidRPr="000F21B3">
        <w:rPr>
          <w:rFonts w:ascii="Arial" w:eastAsia="Times New Roman" w:hAnsi="Arial" w:cs="Arial"/>
          <w:i/>
          <w:color w:val="000000"/>
          <w:sz w:val="16"/>
          <w:szCs w:val="16"/>
          <w:lang w:eastAsia="en-AU"/>
        </w:rPr>
        <w:t>Employee, Earnings and Hours</w:t>
      </w:r>
      <w:r w:rsidRPr="000F21B3">
        <w:rPr>
          <w:rFonts w:ascii="Arial" w:eastAsia="Times New Roman" w:hAnsi="Arial" w:cs="Arial"/>
          <w:color w:val="000000"/>
          <w:sz w:val="16"/>
          <w:szCs w:val="16"/>
          <w:lang w:eastAsia="en-AU"/>
        </w:rPr>
        <w:t xml:space="preserve"> survey from which this data is drawn. </w:t>
      </w:r>
    </w:p>
    <w:p w:rsidR="002D23C5" w:rsidRPr="002D23C5" w:rsidRDefault="002D23C5" w:rsidP="001F726F">
      <w:pPr>
        <w:tabs>
          <w:tab w:val="num" w:pos="142"/>
        </w:tabs>
        <w:spacing w:after="0" w:line="240" w:lineRule="auto"/>
        <w:jc w:val="both"/>
        <w:rPr>
          <w:rFonts w:ascii="Arial" w:eastAsia="Times New Roman" w:hAnsi="Arial" w:cs="Arial"/>
          <w:color w:val="000000"/>
          <w:sz w:val="24"/>
          <w:szCs w:val="24"/>
          <w:lang w:eastAsia="en-AU"/>
        </w:rPr>
      </w:pPr>
    </w:p>
    <w:p w:rsidR="001F726F" w:rsidRPr="00B41DD7" w:rsidRDefault="00ED0408" w:rsidP="001F726F">
      <w:pPr>
        <w:pStyle w:val="ListParagraph"/>
        <w:numPr>
          <w:ilvl w:val="0"/>
          <w:numId w:val="25"/>
        </w:numPr>
        <w:spacing w:after="240" w:line="240" w:lineRule="auto"/>
        <w:ind w:left="567" w:hanging="567"/>
        <w:contextualSpacing w:val="0"/>
        <w:jc w:val="both"/>
        <w:rPr>
          <w:rFonts w:ascii="Arial" w:eastAsia="Times New Roman" w:hAnsi="Arial" w:cs="Arial"/>
          <w:color w:val="000000" w:themeColor="text1"/>
          <w:sz w:val="24"/>
          <w:szCs w:val="24"/>
          <w:lang w:val="en-US"/>
        </w:rPr>
      </w:pPr>
      <w:r w:rsidRPr="00B41DD7">
        <w:rPr>
          <w:rFonts w:ascii="Arial" w:eastAsia="Times New Roman" w:hAnsi="Arial" w:cs="Arial"/>
          <w:color w:val="000000" w:themeColor="text1"/>
          <w:sz w:val="24"/>
          <w:szCs w:val="24"/>
          <w:lang w:val="en-US"/>
        </w:rPr>
        <w:t>Th</w:t>
      </w:r>
      <w:r w:rsidR="00B41DD7" w:rsidRPr="00B41DD7">
        <w:rPr>
          <w:rFonts w:ascii="Arial" w:eastAsia="Times New Roman" w:hAnsi="Arial" w:cs="Arial"/>
          <w:color w:val="000000" w:themeColor="text1"/>
          <w:sz w:val="24"/>
          <w:szCs w:val="24"/>
          <w:lang w:val="en-US"/>
        </w:rPr>
        <w:t>e above figures d</w:t>
      </w:r>
      <w:r w:rsidRPr="00B41DD7">
        <w:rPr>
          <w:rFonts w:ascii="Arial" w:eastAsia="Times New Roman" w:hAnsi="Arial" w:cs="Arial"/>
          <w:color w:val="000000" w:themeColor="text1"/>
          <w:sz w:val="24"/>
          <w:szCs w:val="24"/>
          <w:lang w:val="en-US"/>
        </w:rPr>
        <w:t xml:space="preserve">emonstrate the vital ongoing role that the AWR plays in establishing </w:t>
      </w:r>
      <w:r w:rsidR="00B41DD7">
        <w:rPr>
          <w:rFonts w:ascii="Arial" w:eastAsia="Times New Roman" w:hAnsi="Arial" w:cs="Arial"/>
          <w:color w:val="000000" w:themeColor="text1"/>
          <w:sz w:val="24"/>
          <w:szCs w:val="24"/>
          <w:lang w:val="en-US"/>
        </w:rPr>
        <w:t>a</w:t>
      </w:r>
      <w:r w:rsidRPr="00B41DD7">
        <w:rPr>
          <w:rFonts w:ascii="Arial" w:eastAsia="Times New Roman" w:hAnsi="Arial" w:cs="Arial"/>
          <w:color w:val="000000" w:themeColor="text1"/>
          <w:sz w:val="24"/>
          <w:szCs w:val="24"/>
          <w:lang w:val="en-US"/>
        </w:rPr>
        <w:t xml:space="preserve"> wage</w:t>
      </w:r>
      <w:r w:rsidR="00B41DD7" w:rsidRPr="00B41DD7">
        <w:rPr>
          <w:rFonts w:ascii="Arial" w:eastAsia="Times New Roman" w:hAnsi="Arial" w:cs="Arial"/>
          <w:color w:val="000000" w:themeColor="text1"/>
          <w:sz w:val="24"/>
          <w:szCs w:val="24"/>
          <w:lang w:val="en-US"/>
        </w:rPr>
        <w:t>s</w:t>
      </w:r>
      <w:r w:rsidRPr="00B41DD7">
        <w:rPr>
          <w:rFonts w:ascii="Arial" w:eastAsia="Times New Roman" w:hAnsi="Arial" w:cs="Arial"/>
          <w:color w:val="000000" w:themeColor="text1"/>
          <w:sz w:val="24"/>
          <w:szCs w:val="24"/>
          <w:lang w:val="en-US"/>
        </w:rPr>
        <w:t xml:space="preserve"> safety</w:t>
      </w:r>
      <w:r w:rsidR="00650EDB" w:rsidRPr="00B41DD7">
        <w:rPr>
          <w:rFonts w:ascii="Arial" w:eastAsia="Times New Roman" w:hAnsi="Arial" w:cs="Arial"/>
          <w:color w:val="000000" w:themeColor="text1"/>
          <w:sz w:val="24"/>
          <w:szCs w:val="24"/>
          <w:lang w:val="en-US"/>
        </w:rPr>
        <w:t xml:space="preserve"> </w:t>
      </w:r>
      <w:r w:rsidR="001F726F" w:rsidRPr="00B41DD7">
        <w:rPr>
          <w:rFonts w:ascii="Arial" w:eastAsia="Times New Roman" w:hAnsi="Arial" w:cs="Arial"/>
          <w:color w:val="000000" w:themeColor="text1"/>
          <w:sz w:val="24"/>
          <w:szCs w:val="24"/>
          <w:lang w:val="en-US"/>
        </w:rPr>
        <w:t xml:space="preserve">net for </w:t>
      </w:r>
      <w:r w:rsidRPr="00B41DD7">
        <w:rPr>
          <w:rFonts w:ascii="Arial" w:eastAsia="Times New Roman" w:hAnsi="Arial" w:cs="Arial"/>
          <w:color w:val="000000" w:themeColor="text1"/>
          <w:sz w:val="24"/>
          <w:szCs w:val="24"/>
          <w:lang w:val="en-US"/>
        </w:rPr>
        <w:t xml:space="preserve">many </w:t>
      </w:r>
      <w:r w:rsidR="001F726F" w:rsidRPr="00B41DD7">
        <w:rPr>
          <w:rFonts w:ascii="Arial" w:eastAsia="Times New Roman" w:hAnsi="Arial" w:cs="Arial"/>
          <w:color w:val="000000" w:themeColor="text1"/>
          <w:sz w:val="24"/>
          <w:szCs w:val="24"/>
          <w:lang w:val="en-US"/>
        </w:rPr>
        <w:t>employees</w:t>
      </w:r>
      <w:r w:rsidR="00E97353" w:rsidRPr="00B41DD7">
        <w:rPr>
          <w:rFonts w:ascii="Arial" w:eastAsia="Times New Roman" w:hAnsi="Arial" w:cs="Arial"/>
          <w:color w:val="000000" w:themeColor="text1"/>
          <w:sz w:val="24"/>
          <w:szCs w:val="24"/>
          <w:lang w:val="en-US"/>
        </w:rPr>
        <w:t>,</w:t>
      </w:r>
      <w:r w:rsidR="001F726F" w:rsidRPr="00B41DD7">
        <w:rPr>
          <w:rFonts w:ascii="Arial" w:eastAsia="Times New Roman" w:hAnsi="Arial" w:cs="Arial"/>
          <w:color w:val="000000" w:themeColor="text1"/>
          <w:sz w:val="24"/>
          <w:szCs w:val="24"/>
          <w:lang w:val="en-US"/>
        </w:rPr>
        <w:t xml:space="preserve"> both </w:t>
      </w:r>
      <w:r w:rsidRPr="00B41DD7">
        <w:rPr>
          <w:rFonts w:ascii="Arial" w:eastAsia="Times New Roman" w:hAnsi="Arial" w:cs="Arial"/>
          <w:color w:val="000000" w:themeColor="text1"/>
          <w:sz w:val="24"/>
          <w:szCs w:val="24"/>
          <w:lang w:val="en-US"/>
        </w:rPr>
        <w:t xml:space="preserve">in </w:t>
      </w:r>
      <w:r w:rsidR="001F726F" w:rsidRPr="00B41DD7">
        <w:rPr>
          <w:rFonts w:ascii="Arial" w:eastAsia="Times New Roman" w:hAnsi="Arial" w:cs="Arial"/>
          <w:color w:val="000000" w:themeColor="text1"/>
          <w:sz w:val="24"/>
          <w:szCs w:val="24"/>
          <w:lang w:val="en-US"/>
        </w:rPr>
        <w:t>Western Australia and nationally</w:t>
      </w:r>
      <w:r w:rsidR="00D93E46" w:rsidRPr="00B41DD7">
        <w:rPr>
          <w:rFonts w:ascii="Arial" w:eastAsia="Times New Roman" w:hAnsi="Arial" w:cs="Arial"/>
          <w:color w:val="000000" w:themeColor="text1"/>
          <w:sz w:val="24"/>
          <w:szCs w:val="24"/>
          <w:lang w:val="en-US"/>
        </w:rPr>
        <w:t xml:space="preserve">. </w:t>
      </w:r>
    </w:p>
    <w:p w:rsidR="001F726F" w:rsidRPr="00E57F78" w:rsidRDefault="00E8500E" w:rsidP="00386737">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E8500E">
        <w:rPr>
          <w:rFonts w:ascii="Arial" w:eastAsia="Times New Roman" w:hAnsi="Arial" w:cs="Arial"/>
          <w:sz w:val="24"/>
          <w:szCs w:val="24"/>
          <w:lang w:val="en-US"/>
        </w:rPr>
        <w:t>The Western Australian Government notes that p</w:t>
      </w:r>
      <w:r w:rsidR="001F726F" w:rsidRPr="00E8500E">
        <w:rPr>
          <w:rFonts w:ascii="Arial" w:eastAsia="Times New Roman" w:hAnsi="Arial" w:cs="Arial"/>
          <w:sz w:val="24"/>
          <w:szCs w:val="24"/>
          <w:lang w:val="en-US"/>
        </w:rPr>
        <w:t>enalty rates in two</w:t>
      </w:r>
      <w:r w:rsidR="001F726F" w:rsidRPr="00E57F78">
        <w:rPr>
          <w:rFonts w:ascii="Arial" w:eastAsia="Times New Roman" w:hAnsi="Arial" w:cs="Arial"/>
          <w:sz w:val="24"/>
          <w:szCs w:val="24"/>
          <w:lang w:val="en-US"/>
        </w:rPr>
        <w:t xml:space="preserve"> of the most award-reliant industries - retail and hospitality - are being reduced</w:t>
      </w:r>
      <w:r>
        <w:rPr>
          <w:rFonts w:ascii="Arial" w:eastAsia="Times New Roman" w:hAnsi="Arial" w:cs="Arial"/>
          <w:sz w:val="24"/>
          <w:szCs w:val="24"/>
          <w:lang w:val="en-US"/>
        </w:rPr>
        <w:t xml:space="preserve"> at the same time as any increase awarded by the Panel in this year’s AWR take</w:t>
      </w:r>
      <w:r w:rsidR="002D23C5">
        <w:rPr>
          <w:rFonts w:ascii="Arial" w:eastAsia="Times New Roman" w:hAnsi="Arial" w:cs="Arial"/>
          <w:sz w:val="24"/>
          <w:szCs w:val="24"/>
          <w:lang w:val="en-US"/>
        </w:rPr>
        <w:t>s</w:t>
      </w:r>
      <w:r>
        <w:rPr>
          <w:rFonts w:ascii="Arial" w:eastAsia="Times New Roman" w:hAnsi="Arial" w:cs="Arial"/>
          <w:sz w:val="24"/>
          <w:szCs w:val="24"/>
          <w:lang w:val="en-US"/>
        </w:rPr>
        <w:t xml:space="preserve"> effect</w:t>
      </w:r>
      <w:r w:rsidR="001F726F" w:rsidRPr="00E57F78">
        <w:rPr>
          <w:rFonts w:ascii="Arial" w:eastAsia="Times New Roman" w:hAnsi="Arial" w:cs="Arial"/>
          <w:sz w:val="24"/>
          <w:szCs w:val="24"/>
          <w:lang w:val="en-US"/>
        </w:rPr>
        <w:t>.</w:t>
      </w:r>
      <w:r w:rsidR="00E57F78" w:rsidRPr="00E57F78">
        <w:rPr>
          <w:rFonts w:ascii="Arial" w:eastAsia="Times New Roman" w:hAnsi="Arial" w:cs="Arial"/>
          <w:sz w:val="24"/>
          <w:szCs w:val="24"/>
          <w:lang w:val="en-US"/>
        </w:rPr>
        <w:t xml:space="preserve"> </w:t>
      </w:r>
      <w:r>
        <w:rPr>
          <w:rFonts w:ascii="Arial" w:eastAsia="Times New Roman" w:hAnsi="Arial" w:cs="Arial"/>
          <w:sz w:val="24"/>
          <w:szCs w:val="24"/>
          <w:lang w:val="en-US"/>
        </w:rPr>
        <w:t xml:space="preserve">This includes further </w:t>
      </w:r>
      <w:r w:rsidR="001F726F" w:rsidRPr="00E57F78">
        <w:rPr>
          <w:rFonts w:ascii="Arial" w:eastAsia="Times New Roman" w:hAnsi="Arial" w:cs="Arial"/>
          <w:sz w:val="24"/>
          <w:szCs w:val="24"/>
          <w:lang w:val="en-US"/>
        </w:rPr>
        <w:t>cuts to Sunday penalty rates in the hospitality, fast food, retail and pharmacy awards due to take effect from July 201</w:t>
      </w:r>
      <w:r w:rsidR="00D93E46" w:rsidRPr="00E57F78">
        <w:rPr>
          <w:rFonts w:ascii="Arial" w:eastAsia="Times New Roman" w:hAnsi="Arial" w:cs="Arial"/>
          <w:sz w:val="24"/>
          <w:szCs w:val="24"/>
          <w:lang w:val="en-US"/>
        </w:rPr>
        <w:t>9</w:t>
      </w:r>
      <w:r w:rsidR="00E57F78" w:rsidRPr="00E57F78">
        <w:rPr>
          <w:rFonts w:ascii="Arial" w:eastAsia="Times New Roman" w:hAnsi="Arial" w:cs="Arial"/>
          <w:sz w:val="24"/>
          <w:szCs w:val="24"/>
          <w:lang w:val="en-US"/>
        </w:rPr>
        <w:t>.</w:t>
      </w:r>
      <w:r w:rsidR="00E57F78" w:rsidRPr="00E57F78">
        <w:rPr>
          <w:rStyle w:val="FootnoteReference"/>
          <w:rFonts w:ascii="Arial" w:eastAsia="Times New Roman" w:hAnsi="Arial" w:cs="Arial"/>
          <w:sz w:val="24"/>
          <w:szCs w:val="24"/>
          <w:lang w:val="en-US"/>
        </w:rPr>
        <w:footnoteReference w:id="18"/>
      </w:r>
      <w:r w:rsidR="001F726F" w:rsidRPr="00E57F78">
        <w:rPr>
          <w:rFonts w:ascii="Arial" w:eastAsia="Times New Roman" w:hAnsi="Arial" w:cs="Arial"/>
          <w:sz w:val="24"/>
          <w:szCs w:val="24"/>
          <w:lang w:val="en-US"/>
        </w:rPr>
        <w:t xml:space="preserve"> </w:t>
      </w:r>
    </w:p>
    <w:p w:rsidR="001F726F" w:rsidRPr="0060351D" w:rsidRDefault="00E57F78"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N</w:t>
      </w:r>
      <w:r w:rsidR="001F726F" w:rsidRPr="0060351D">
        <w:rPr>
          <w:rFonts w:ascii="Arial" w:eastAsia="Times New Roman" w:hAnsi="Arial" w:cs="Arial"/>
          <w:sz w:val="24"/>
          <w:szCs w:val="24"/>
          <w:lang w:val="en-US"/>
        </w:rPr>
        <w:t xml:space="preserve">ot all of </w:t>
      </w:r>
      <w:r>
        <w:rPr>
          <w:rFonts w:ascii="Arial" w:eastAsia="Times New Roman" w:hAnsi="Arial" w:cs="Arial"/>
          <w:sz w:val="24"/>
          <w:szCs w:val="24"/>
          <w:lang w:val="en-US"/>
        </w:rPr>
        <w:t xml:space="preserve">the impending penalty rate cuts </w:t>
      </w:r>
      <w:r w:rsidR="001F726F" w:rsidRPr="0060351D">
        <w:rPr>
          <w:rFonts w:ascii="Arial" w:eastAsia="Times New Roman" w:hAnsi="Arial" w:cs="Arial"/>
          <w:sz w:val="24"/>
          <w:szCs w:val="24"/>
          <w:lang w:val="en-US"/>
        </w:rPr>
        <w:t>can be ameliorated by any general increase to award wages granted by the Panel</w:t>
      </w:r>
      <w:r w:rsidR="002D23C5">
        <w:rPr>
          <w:rFonts w:ascii="Arial" w:eastAsia="Times New Roman" w:hAnsi="Arial" w:cs="Arial"/>
          <w:sz w:val="24"/>
          <w:szCs w:val="24"/>
          <w:lang w:val="en-US"/>
        </w:rPr>
        <w:t xml:space="preserve"> in 2019</w:t>
      </w:r>
      <w:r>
        <w:rPr>
          <w:rFonts w:ascii="Arial" w:eastAsia="Times New Roman" w:hAnsi="Arial" w:cs="Arial"/>
          <w:sz w:val="24"/>
          <w:szCs w:val="24"/>
          <w:lang w:val="en-US"/>
        </w:rPr>
        <w:t xml:space="preserve">. </w:t>
      </w:r>
      <w:r w:rsidR="002D23C5">
        <w:rPr>
          <w:rFonts w:ascii="Arial" w:eastAsia="Times New Roman" w:hAnsi="Arial" w:cs="Arial"/>
          <w:sz w:val="24"/>
          <w:szCs w:val="24"/>
          <w:lang w:val="en-US"/>
        </w:rPr>
        <w:t xml:space="preserve">Some </w:t>
      </w:r>
      <w:r w:rsidR="001F726F" w:rsidRPr="0060351D">
        <w:rPr>
          <w:rFonts w:ascii="Arial" w:eastAsia="Times New Roman" w:hAnsi="Arial" w:cs="Arial"/>
          <w:sz w:val="24"/>
          <w:szCs w:val="24"/>
          <w:lang w:val="en-US"/>
        </w:rPr>
        <w:t xml:space="preserve">award-reliant workers in the retail and hospitality industries therefore face a reduction in their </w:t>
      </w:r>
      <w:r w:rsidR="002D23C5">
        <w:rPr>
          <w:rFonts w:ascii="Arial" w:eastAsia="Times New Roman" w:hAnsi="Arial" w:cs="Arial"/>
          <w:sz w:val="24"/>
          <w:szCs w:val="24"/>
          <w:lang w:val="en-US"/>
        </w:rPr>
        <w:t>take home</w:t>
      </w:r>
      <w:r w:rsidR="001F726F" w:rsidRPr="0060351D">
        <w:rPr>
          <w:rFonts w:ascii="Arial" w:eastAsia="Times New Roman" w:hAnsi="Arial" w:cs="Arial"/>
          <w:sz w:val="24"/>
          <w:szCs w:val="24"/>
          <w:lang w:val="en-US"/>
        </w:rPr>
        <w:t xml:space="preserve"> pay, and the W</w:t>
      </w:r>
      <w:r w:rsidR="001F726F">
        <w:rPr>
          <w:rFonts w:ascii="Arial" w:eastAsia="Times New Roman" w:hAnsi="Arial" w:cs="Arial"/>
          <w:sz w:val="24"/>
          <w:szCs w:val="24"/>
          <w:lang w:val="en-US"/>
        </w:rPr>
        <w:t>estern Australian</w:t>
      </w:r>
      <w:r w:rsidR="001F726F" w:rsidRPr="0060351D">
        <w:rPr>
          <w:rFonts w:ascii="Arial" w:eastAsia="Times New Roman" w:hAnsi="Arial" w:cs="Arial"/>
          <w:sz w:val="24"/>
          <w:szCs w:val="24"/>
          <w:lang w:val="en-US"/>
        </w:rPr>
        <w:t xml:space="preserve"> Government contends this is a contextual factor that should be taken into consideration in determining wage outcomes in this year’s AWR. </w:t>
      </w:r>
    </w:p>
    <w:p w:rsidR="001F726F" w:rsidRPr="0066289A" w:rsidRDefault="001F726F" w:rsidP="001F726F">
      <w:pPr>
        <w:spacing w:after="240" w:line="240" w:lineRule="auto"/>
        <w:jc w:val="both"/>
        <w:rPr>
          <w:rFonts w:ascii="Arial" w:hAnsi="Arial" w:cs="Arial"/>
          <w:b/>
          <w:color w:val="C00000"/>
          <w:sz w:val="24"/>
          <w:szCs w:val="24"/>
        </w:rPr>
      </w:pPr>
      <w:r w:rsidRPr="0066289A">
        <w:rPr>
          <w:rFonts w:ascii="Arial" w:eastAsia="Times New Roman" w:hAnsi="Arial" w:cs="Arial"/>
          <w:b/>
          <w:color w:val="C00000"/>
          <w:sz w:val="24"/>
          <w:szCs w:val="24"/>
          <w:lang w:val="en-US"/>
        </w:rPr>
        <w:lastRenderedPageBreak/>
        <w:t>Employees covered by enterprise agreements</w:t>
      </w:r>
      <w:r w:rsidRPr="0066289A">
        <w:rPr>
          <w:rFonts w:ascii="Arial" w:eastAsia="Times New Roman" w:hAnsi="Arial" w:cs="Arial"/>
          <w:color w:val="C00000"/>
          <w:sz w:val="24"/>
          <w:szCs w:val="24"/>
          <w:lang w:val="en-US"/>
        </w:rPr>
        <w:t xml:space="preserve"> </w:t>
      </w:r>
    </w:p>
    <w:p w:rsidR="000564E4" w:rsidRDefault="00650EDB"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 xml:space="preserve">Australia-wide, the number and proportion </w:t>
      </w:r>
      <w:r w:rsidR="001F726F" w:rsidRPr="0060351D">
        <w:rPr>
          <w:rFonts w:ascii="Arial" w:eastAsia="Times New Roman" w:hAnsi="Arial" w:cs="Arial"/>
          <w:sz w:val="24"/>
          <w:szCs w:val="24"/>
          <w:lang w:val="en-US"/>
        </w:rPr>
        <w:t xml:space="preserve">of </w:t>
      </w:r>
      <w:r>
        <w:rPr>
          <w:rFonts w:ascii="Arial" w:eastAsia="Times New Roman" w:hAnsi="Arial" w:cs="Arial"/>
          <w:sz w:val="24"/>
          <w:szCs w:val="24"/>
          <w:lang w:val="en-US"/>
        </w:rPr>
        <w:t xml:space="preserve">employees </w:t>
      </w:r>
      <w:r w:rsidR="001F726F" w:rsidRPr="0060351D">
        <w:rPr>
          <w:rFonts w:ascii="Arial" w:eastAsia="Times New Roman" w:hAnsi="Arial" w:cs="Arial"/>
          <w:sz w:val="24"/>
          <w:szCs w:val="24"/>
          <w:lang w:val="en-US"/>
        </w:rPr>
        <w:t xml:space="preserve">subject to </w:t>
      </w:r>
      <w:r w:rsidR="00264129">
        <w:rPr>
          <w:rFonts w:ascii="Arial" w:eastAsia="Times New Roman" w:hAnsi="Arial" w:cs="Arial"/>
          <w:sz w:val="24"/>
          <w:szCs w:val="24"/>
          <w:lang w:val="en-US"/>
        </w:rPr>
        <w:t xml:space="preserve">federal </w:t>
      </w:r>
      <w:r w:rsidR="006A48A5">
        <w:rPr>
          <w:rFonts w:ascii="Arial" w:eastAsia="Times New Roman" w:hAnsi="Arial" w:cs="Arial"/>
          <w:sz w:val="24"/>
          <w:szCs w:val="24"/>
          <w:lang w:val="en-US"/>
        </w:rPr>
        <w:t xml:space="preserve">enterprise </w:t>
      </w:r>
      <w:r w:rsidR="00264129">
        <w:rPr>
          <w:rFonts w:ascii="Arial" w:eastAsia="Times New Roman" w:hAnsi="Arial" w:cs="Arial"/>
          <w:sz w:val="24"/>
          <w:szCs w:val="24"/>
          <w:lang w:val="en-US"/>
        </w:rPr>
        <w:t>agreements has been declining</w:t>
      </w:r>
      <w:r w:rsidR="00027DBE">
        <w:rPr>
          <w:rFonts w:ascii="Arial" w:eastAsia="Times New Roman" w:hAnsi="Arial" w:cs="Arial"/>
          <w:sz w:val="24"/>
          <w:szCs w:val="24"/>
          <w:lang w:val="en-US"/>
        </w:rPr>
        <w:t xml:space="preserve">. </w:t>
      </w:r>
      <w:r w:rsidR="00264129">
        <w:rPr>
          <w:rFonts w:ascii="Arial" w:eastAsia="Times New Roman" w:hAnsi="Arial" w:cs="Arial"/>
          <w:sz w:val="24"/>
          <w:szCs w:val="24"/>
          <w:lang w:val="en-US"/>
        </w:rPr>
        <w:t xml:space="preserve"> </w:t>
      </w:r>
    </w:p>
    <w:p w:rsidR="001F726F" w:rsidRPr="00027DBE"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027DBE">
        <w:rPr>
          <w:rFonts w:ascii="Arial" w:eastAsia="Times New Roman" w:hAnsi="Arial" w:cs="Arial"/>
          <w:sz w:val="24"/>
          <w:szCs w:val="24"/>
          <w:lang w:val="en-US"/>
        </w:rPr>
        <w:t xml:space="preserve">According to the Commonwealth Department of Jobs and Small Business, </w:t>
      </w:r>
      <w:r w:rsidR="00027DBE" w:rsidRPr="00027DBE">
        <w:rPr>
          <w:rFonts w:ascii="Arial" w:eastAsia="Times New Roman" w:hAnsi="Arial" w:cs="Arial"/>
          <w:sz w:val="24"/>
          <w:szCs w:val="24"/>
          <w:lang w:val="en-US"/>
        </w:rPr>
        <w:t xml:space="preserve">the number of current federal </w:t>
      </w:r>
      <w:r w:rsidR="002D23C5">
        <w:rPr>
          <w:rFonts w:ascii="Arial" w:eastAsia="Times New Roman" w:hAnsi="Arial" w:cs="Arial"/>
          <w:sz w:val="24"/>
          <w:szCs w:val="24"/>
          <w:lang w:val="en-US"/>
        </w:rPr>
        <w:t>enterprise</w:t>
      </w:r>
      <w:r w:rsidR="00027DBE" w:rsidRPr="00027DBE">
        <w:rPr>
          <w:rFonts w:ascii="Arial" w:eastAsia="Times New Roman" w:hAnsi="Arial" w:cs="Arial"/>
          <w:sz w:val="24"/>
          <w:szCs w:val="24"/>
          <w:lang w:val="en-US"/>
        </w:rPr>
        <w:t xml:space="preserve"> agreements in place declined from 15,139 to 10,989 between September 2015 and September 2018. The number of employees covered by </w:t>
      </w:r>
      <w:r w:rsidR="006A48A5">
        <w:rPr>
          <w:rFonts w:ascii="Arial" w:eastAsia="Times New Roman" w:hAnsi="Arial" w:cs="Arial"/>
          <w:sz w:val="24"/>
          <w:szCs w:val="24"/>
          <w:lang w:val="en-US"/>
        </w:rPr>
        <w:t xml:space="preserve">federal enterprise </w:t>
      </w:r>
      <w:r w:rsidR="00027DBE" w:rsidRPr="00027DBE">
        <w:rPr>
          <w:rFonts w:ascii="Arial" w:eastAsia="Times New Roman" w:hAnsi="Arial" w:cs="Arial"/>
          <w:sz w:val="24"/>
          <w:szCs w:val="24"/>
          <w:lang w:val="en-US"/>
        </w:rPr>
        <w:t>agreements also declined during this period, falling from 2,175,600 to 1,890,000.</w:t>
      </w:r>
      <w:r w:rsidR="00817A98">
        <w:rPr>
          <w:rStyle w:val="FootnoteReference"/>
          <w:rFonts w:ascii="Arial" w:eastAsia="Times New Roman" w:hAnsi="Arial" w:cs="Arial"/>
          <w:sz w:val="24"/>
          <w:szCs w:val="24"/>
          <w:lang w:val="en-US"/>
        </w:rPr>
        <w:footnoteReference w:id="19"/>
      </w:r>
      <w:r w:rsidR="00027DBE" w:rsidRPr="00027DBE">
        <w:rPr>
          <w:rFonts w:ascii="Arial" w:eastAsia="Times New Roman" w:hAnsi="Arial" w:cs="Arial"/>
          <w:sz w:val="24"/>
          <w:szCs w:val="24"/>
          <w:lang w:val="en-US"/>
        </w:rPr>
        <w:t xml:space="preserve"> </w:t>
      </w:r>
      <w:r w:rsidRPr="00027DBE">
        <w:rPr>
          <w:rFonts w:ascii="Arial" w:eastAsia="Times New Roman" w:hAnsi="Arial" w:cs="Arial"/>
          <w:sz w:val="24"/>
          <w:szCs w:val="24"/>
          <w:lang w:val="en-US"/>
        </w:rPr>
        <w:t xml:space="preserve"> </w:t>
      </w:r>
    </w:p>
    <w:p w:rsidR="00027DBE" w:rsidRPr="004C2A74" w:rsidRDefault="004C2A74"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4C2A74">
        <w:rPr>
          <w:rFonts w:ascii="Arial" w:eastAsia="Times New Roman" w:hAnsi="Arial" w:cs="Arial"/>
          <w:sz w:val="24"/>
          <w:szCs w:val="24"/>
          <w:lang w:val="en-US"/>
        </w:rPr>
        <w:t xml:space="preserve">Western </w:t>
      </w:r>
      <w:r w:rsidRPr="002D23C5">
        <w:rPr>
          <w:rFonts w:ascii="Arial" w:eastAsia="Times New Roman" w:hAnsi="Arial" w:cs="Arial"/>
          <w:sz w:val="24"/>
          <w:szCs w:val="24"/>
          <w:lang w:val="en-US"/>
        </w:rPr>
        <w:t xml:space="preserve">Australia has also </w:t>
      </w:r>
      <w:r w:rsidR="002D23C5" w:rsidRPr="002D23C5">
        <w:rPr>
          <w:rFonts w:ascii="Arial" w:eastAsia="Times New Roman" w:hAnsi="Arial" w:cs="Arial"/>
          <w:sz w:val="24"/>
          <w:szCs w:val="24"/>
          <w:lang w:val="en-US"/>
        </w:rPr>
        <w:t>witnessed</w:t>
      </w:r>
      <w:r w:rsidRPr="002D23C5">
        <w:rPr>
          <w:rFonts w:ascii="Arial" w:eastAsia="Times New Roman" w:hAnsi="Arial" w:cs="Arial"/>
          <w:sz w:val="24"/>
          <w:szCs w:val="24"/>
          <w:lang w:val="en-US"/>
        </w:rPr>
        <w:t xml:space="preserve"> a significant</w:t>
      </w:r>
      <w:r w:rsidRPr="004C2A74">
        <w:rPr>
          <w:rFonts w:ascii="Arial" w:eastAsia="Times New Roman" w:hAnsi="Arial" w:cs="Arial"/>
          <w:sz w:val="24"/>
          <w:szCs w:val="24"/>
          <w:lang w:val="en-US"/>
        </w:rPr>
        <w:t xml:space="preserve"> decline in the number of employees covered by federal enterprise agreements in recent years, with the number of employees engaged under agreements applying solely within </w:t>
      </w:r>
      <w:r w:rsidR="006A48A5">
        <w:rPr>
          <w:rFonts w:ascii="Arial" w:eastAsia="Times New Roman" w:hAnsi="Arial" w:cs="Arial"/>
          <w:sz w:val="24"/>
          <w:szCs w:val="24"/>
          <w:lang w:val="en-US"/>
        </w:rPr>
        <w:t xml:space="preserve">the State </w:t>
      </w:r>
      <w:r w:rsidRPr="004C2A74">
        <w:rPr>
          <w:rFonts w:ascii="Arial" w:eastAsia="Times New Roman" w:hAnsi="Arial" w:cs="Arial"/>
          <w:sz w:val="24"/>
          <w:szCs w:val="24"/>
          <w:lang w:val="en-US"/>
        </w:rPr>
        <w:t>falling from 164,700 to 117,000 during the three years to September 2018.</w:t>
      </w:r>
      <w:r w:rsidRPr="004C2A74">
        <w:rPr>
          <w:rStyle w:val="FootnoteReference"/>
          <w:rFonts w:ascii="Arial" w:eastAsia="Times New Roman" w:hAnsi="Arial" w:cs="Arial"/>
          <w:sz w:val="24"/>
          <w:szCs w:val="24"/>
          <w:lang w:val="en-US"/>
        </w:rPr>
        <w:footnoteReference w:id="20"/>
      </w:r>
      <w:r w:rsidRPr="004C2A74">
        <w:rPr>
          <w:rFonts w:ascii="Arial" w:eastAsia="Times New Roman" w:hAnsi="Arial" w:cs="Arial"/>
          <w:sz w:val="24"/>
          <w:szCs w:val="24"/>
          <w:lang w:val="en-US"/>
        </w:rPr>
        <w:t xml:space="preserve"> </w:t>
      </w:r>
    </w:p>
    <w:p w:rsidR="001F726F" w:rsidRPr="0060351D" w:rsidRDefault="00817A98"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817A98">
        <w:rPr>
          <w:rFonts w:ascii="Arial" w:eastAsia="Times New Roman" w:hAnsi="Arial" w:cs="Arial"/>
          <w:sz w:val="24"/>
          <w:szCs w:val="24"/>
          <w:lang w:val="en-US"/>
        </w:rPr>
        <w:t xml:space="preserve">Notwithstanding the decline in collective agreement making, </w:t>
      </w:r>
      <w:r w:rsidR="001F726F" w:rsidRPr="00817A98">
        <w:rPr>
          <w:rFonts w:ascii="Arial" w:eastAsia="Times New Roman" w:hAnsi="Arial" w:cs="Arial"/>
          <w:sz w:val="24"/>
          <w:szCs w:val="24"/>
          <w:lang w:val="en-US"/>
        </w:rPr>
        <w:t xml:space="preserve">national </w:t>
      </w:r>
      <w:r w:rsidR="00CB1BC0">
        <w:rPr>
          <w:rFonts w:ascii="Arial" w:eastAsia="Times New Roman" w:hAnsi="Arial" w:cs="Arial"/>
          <w:sz w:val="24"/>
          <w:szCs w:val="24"/>
          <w:lang w:val="en-US"/>
        </w:rPr>
        <w:t xml:space="preserve">modern </w:t>
      </w:r>
      <w:r w:rsidR="001F726F" w:rsidRPr="00817A98">
        <w:rPr>
          <w:rFonts w:ascii="Arial" w:eastAsia="Times New Roman" w:hAnsi="Arial" w:cs="Arial"/>
          <w:sz w:val="24"/>
          <w:szCs w:val="24"/>
          <w:lang w:val="en-US"/>
        </w:rPr>
        <w:t xml:space="preserve">awards play a critical role in underpinning the </w:t>
      </w:r>
      <w:r w:rsidRPr="00817A98">
        <w:rPr>
          <w:rFonts w:ascii="Arial" w:eastAsia="Times New Roman" w:hAnsi="Arial" w:cs="Arial"/>
          <w:sz w:val="24"/>
          <w:szCs w:val="24"/>
          <w:lang w:val="en-US"/>
        </w:rPr>
        <w:t xml:space="preserve">federal </w:t>
      </w:r>
      <w:r w:rsidR="001F726F" w:rsidRPr="00817A98">
        <w:rPr>
          <w:rFonts w:ascii="Arial" w:eastAsia="Times New Roman" w:hAnsi="Arial" w:cs="Arial"/>
          <w:sz w:val="24"/>
          <w:szCs w:val="24"/>
          <w:lang w:val="en-US"/>
        </w:rPr>
        <w:t>enterprise bargaining system. Awards</w:t>
      </w:r>
      <w:r w:rsidR="001F726F" w:rsidRPr="0060351D">
        <w:rPr>
          <w:rFonts w:ascii="Arial" w:eastAsia="Times New Roman" w:hAnsi="Arial" w:cs="Arial"/>
          <w:sz w:val="24"/>
          <w:szCs w:val="24"/>
          <w:lang w:val="en-US"/>
        </w:rPr>
        <w:t xml:space="preserve"> perform a dual role in establishing the benchmark for agreement registration through the Better Off Overall Test (</w:t>
      </w:r>
      <w:r w:rsidR="001F726F" w:rsidRPr="00C77F68">
        <w:rPr>
          <w:rFonts w:ascii="Arial" w:eastAsia="Times New Roman" w:hAnsi="Arial" w:cs="Arial"/>
          <w:b/>
          <w:sz w:val="24"/>
          <w:szCs w:val="24"/>
          <w:lang w:val="en-US"/>
        </w:rPr>
        <w:t>BOOT</w:t>
      </w:r>
      <w:r w:rsidR="001F726F" w:rsidRPr="0060351D">
        <w:rPr>
          <w:rFonts w:ascii="Arial" w:eastAsia="Times New Roman" w:hAnsi="Arial" w:cs="Arial"/>
          <w:sz w:val="24"/>
          <w:szCs w:val="24"/>
          <w:lang w:val="en-US"/>
        </w:rPr>
        <w:t xml:space="preserve">), as well as setting a floor </w:t>
      </w:r>
      <w:r w:rsidR="001F726F">
        <w:rPr>
          <w:rFonts w:ascii="Arial" w:eastAsia="Times New Roman" w:hAnsi="Arial" w:cs="Arial"/>
          <w:sz w:val="24"/>
          <w:szCs w:val="24"/>
          <w:lang w:val="en-US"/>
        </w:rPr>
        <w:t xml:space="preserve">through which </w:t>
      </w:r>
      <w:r w:rsidR="001F726F" w:rsidRPr="0060351D">
        <w:rPr>
          <w:rFonts w:ascii="Arial" w:eastAsia="Times New Roman" w:hAnsi="Arial" w:cs="Arial"/>
          <w:sz w:val="24"/>
          <w:szCs w:val="24"/>
          <w:lang w:val="en-US"/>
        </w:rPr>
        <w:t xml:space="preserve">wages cannot fall below </w:t>
      </w:r>
      <w:r w:rsidR="001F726F">
        <w:rPr>
          <w:rFonts w:ascii="Arial" w:eastAsia="Times New Roman" w:hAnsi="Arial" w:cs="Arial"/>
          <w:sz w:val="24"/>
          <w:szCs w:val="24"/>
          <w:lang w:val="en-US"/>
        </w:rPr>
        <w:t>during</w:t>
      </w:r>
      <w:r w:rsidR="001F726F" w:rsidRPr="0060351D">
        <w:rPr>
          <w:rFonts w:ascii="Arial" w:eastAsia="Times New Roman" w:hAnsi="Arial" w:cs="Arial"/>
          <w:sz w:val="24"/>
          <w:szCs w:val="24"/>
          <w:lang w:val="en-US"/>
        </w:rPr>
        <w:t xml:space="preserve"> the life of an agreement.</w:t>
      </w:r>
      <w:r w:rsidR="001F726F" w:rsidRPr="00BD726E">
        <w:rPr>
          <w:rStyle w:val="FootnoteReference"/>
          <w:rFonts w:ascii="Arial" w:eastAsia="Times New Roman" w:hAnsi="Arial" w:cs="Arial"/>
          <w:sz w:val="24"/>
          <w:szCs w:val="24"/>
          <w:lang w:val="en-US"/>
        </w:rPr>
        <w:footnoteReference w:id="21"/>
      </w:r>
      <w:r w:rsidR="001F726F" w:rsidRPr="0060351D">
        <w:rPr>
          <w:rFonts w:ascii="Arial" w:eastAsia="Times New Roman" w:hAnsi="Arial" w:cs="Arial"/>
          <w:sz w:val="24"/>
          <w:szCs w:val="24"/>
          <w:lang w:val="en-US"/>
        </w:rPr>
        <w:t xml:space="preserve"> </w:t>
      </w:r>
    </w:p>
    <w:p w:rsidR="00456CFF" w:rsidRDefault="00027DBE" w:rsidP="00762EFD">
      <w:pPr>
        <w:pStyle w:val="ListParagraph"/>
        <w:numPr>
          <w:ilvl w:val="0"/>
          <w:numId w:val="25"/>
        </w:numPr>
        <w:spacing w:after="120" w:line="240" w:lineRule="auto"/>
        <w:ind w:left="567"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 xml:space="preserve">The </w:t>
      </w:r>
      <w:r w:rsidR="006A48A5">
        <w:rPr>
          <w:rFonts w:ascii="Arial" w:eastAsia="Times New Roman" w:hAnsi="Arial" w:cs="Arial"/>
          <w:sz w:val="24"/>
          <w:szCs w:val="24"/>
          <w:lang w:val="en-US"/>
        </w:rPr>
        <w:t xml:space="preserve">effect of </w:t>
      </w:r>
      <w:r>
        <w:rPr>
          <w:rFonts w:ascii="Arial" w:eastAsia="Times New Roman" w:hAnsi="Arial" w:cs="Arial"/>
          <w:sz w:val="24"/>
          <w:szCs w:val="24"/>
          <w:lang w:val="en-US"/>
        </w:rPr>
        <w:t xml:space="preserve">pay </w:t>
      </w:r>
      <w:r w:rsidR="001F726F" w:rsidRPr="0060351D">
        <w:rPr>
          <w:rFonts w:ascii="Arial" w:eastAsia="Times New Roman" w:hAnsi="Arial" w:cs="Arial"/>
          <w:sz w:val="24"/>
          <w:szCs w:val="24"/>
          <w:lang w:val="en-US"/>
        </w:rPr>
        <w:t xml:space="preserve">increases </w:t>
      </w:r>
      <w:r>
        <w:rPr>
          <w:rFonts w:ascii="Arial" w:eastAsia="Times New Roman" w:hAnsi="Arial" w:cs="Arial"/>
          <w:sz w:val="24"/>
          <w:szCs w:val="24"/>
          <w:lang w:val="en-US"/>
        </w:rPr>
        <w:t xml:space="preserve">determined by the </w:t>
      </w:r>
      <w:r w:rsidR="000F1E93">
        <w:rPr>
          <w:rFonts w:ascii="Arial" w:eastAsia="Times New Roman" w:hAnsi="Arial" w:cs="Arial"/>
          <w:sz w:val="24"/>
          <w:szCs w:val="24"/>
          <w:lang w:val="en-US"/>
        </w:rPr>
        <w:t>P</w:t>
      </w:r>
      <w:r w:rsidR="001F726F" w:rsidRPr="0060351D">
        <w:rPr>
          <w:rFonts w:ascii="Arial" w:eastAsia="Times New Roman" w:hAnsi="Arial" w:cs="Arial"/>
          <w:sz w:val="24"/>
          <w:szCs w:val="24"/>
          <w:lang w:val="en-US"/>
        </w:rPr>
        <w:t xml:space="preserve">anel for national modern awards therefore </w:t>
      </w:r>
      <w:r w:rsidR="006A48A5">
        <w:rPr>
          <w:rFonts w:ascii="Arial" w:eastAsia="Times New Roman" w:hAnsi="Arial" w:cs="Arial"/>
          <w:sz w:val="24"/>
          <w:szCs w:val="24"/>
          <w:lang w:val="en-US"/>
        </w:rPr>
        <w:t xml:space="preserve">extends beyond award covered employees, and has a material impact on </w:t>
      </w:r>
      <w:r w:rsidR="001F726F" w:rsidRPr="0060351D">
        <w:rPr>
          <w:rFonts w:ascii="Arial" w:eastAsia="Times New Roman" w:hAnsi="Arial" w:cs="Arial"/>
          <w:sz w:val="24"/>
          <w:szCs w:val="24"/>
          <w:lang w:val="en-US"/>
        </w:rPr>
        <w:t xml:space="preserve">employees subject to federal enterprise agreements. While this effect will be indirect in many cases, </w:t>
      </w:r>
      <w:r>
        <w:rPr>
          <w:rFonts w:ascii="Arial" w:eastAsia="Times New Roman" w:hAnsi="Arial" w:cs="Arial"/>
          <w:sz w:val="24"/>
          <w:szCs w:val="24"/>
          <w:lang w:val="en-US"/>
        </w:rPr>
        <w:t xml:space="preserve">it is known that a number of </w:t>
      </w:r>
      <w:r w:rsidR="00765AED">
        <w:rPr>
          <w:rFonts w:ascii="Arial" w:eastAsia="Times New Roman" w:hAnsi="Arial" w:cs="Arial"/>
          <w:sz w:val="24"/>
          <w:szCs w:val="24"/>
          <w:lang w:val="en-US"/>
        </w:rPr>
        <w:t>federal ente</w:t>
      </w:r>
      <w:r w:rsidR="001F726F" w:rsidRPr="0060351D">
        <w:rPr>
          <w:rFonts w:ascii="Arial" w:eastAsia="Times New Roman" w:hAnsi="Arial" w:cs="Arial"/>
          <w:sz w:val="24"/>
          <w:szCs w:val="24"/>
          <w:lang w:val="en-US"/>
        </w:rPr>
        <w:t xml:space="preserve">rprise agreements peg future wage </w:t>
      </w:r>
      <w:r w:rsidR="00765AED">
        <w:rPr>
          <w:rFonts w:ascii="Arial" w:eastAsia="Times New Roman" w:hAnsi="Arial" w:cs="Arial"/>
          <w:sz w:val="24"/>
          <w:szCs w:val="24"/>
          <w:lang w:val="en-US"/>
        </w:rPr>
        <w:t xml:space="preserve">rises to </w:t>
      </w:r>
      <w:r w:rsidR="00B75822">
        <w:rPr>
          <w:rFonts w:ascii="Arial" w:eastAsia="Times New Roman" w:hAnsi="Arial" w:cs="Arial"/>
          <w:sz w:val="24"/>
          <w:szCs w:val="24"/>
          <w:lang w:val="en-US"/>
        </w:rPr>
        <w:t>award wage increases.</w:t>
      </w:r>
      <w:r w:rsidR="006A48A5">
        <w:rPr>
          <w:rStyle w:val="FootnoteReference"/>
          <w:rFonts w:ascii="Arial" w:eastAsia="Times New Roman" w:hAnsi="Arial" w:cs="Arial"/>
          <w:sz w:val="24"/>
          <w:szCs w:val="24"/>
          <w:lang w:val="en-US"/>
        </w:rPr>
        <w:footnoteReference w:id="22"/>
      </w:r>
      <w:r w:rsidR="00765AED">
        <w:rPr>
          <w:rFonts w:ascii="Arial" w:eastAsia="Times New Roman" w:hAnsi="Arial" w:cs="Arial"/>
          <w:sz w:val="24"/>
          <w:szCs w:val="24"/>
          <w:lang w:val="en-US"/>
        </w:rPr>
        <w:t xml:space="preserve"> For instance</w:t>
      </w:r>
      <w:r w:rsidR="008F7C2D">
        <w:rPr>
          <w:rFonts w:ascii="Arial" w:eastAsia="Times New Roman" w:hAnsi="Arial" w:cs="Arial"/>
          <w:sz w:val="24"/>
          <w:szCs w:val="24"/>
          <w:lang w:val="en-US"/>
        </w:rPr>
        <w:t xml:space="preserve"> the following agreements link future pay increases </w:t>
      </w:r>
      <w:r w:rsidR="00386737">
        <w:rPr>
          <w:rFonts w:ascii="Arial" w:eastAsia="Times New Roman" w:hAnsi="Arial" w:cs="Arial"/>
          <w:sz w:val="24"/>
          <w:szCs w:val="24"/>
          <w:lang w:val="en-US"/>
        </w:rPr>
        <w:t xml:space="preserve">(either in part or in whole) </w:t>
      </w:r>
      <w:r w:rsidR="008F7C2D">
        <w:rPr>
          <w:rFonts w:ascii="Arial" w:eastAsia="Times New Roman" w:hAnsi="Arial" w:cs="Arial"/>
          <w:sz w:val="24"/>
          <w:szCs w:val="24"/>
          <w:lang w:val="en-US"/>
        </w:rPr>
        <w:t>to the AWR</w:t>
      </w:r>
      <w:r w:rsidR="00456CFF">
        <w:rPr>
          <w:rFonts w:ascii="Arial" w:eastAsia="Times New Roman" w:hAnsi="Arial" w:cs="Arial"/>
          <w:sz w:val="24"/>
          <w:szCs w:val="24"/>
          <w:lang w:val="en-US"/>
        </w:rPr>
        <w:t>:</w:t>
      </w:r>
    </w:p>
    <w:p w:rsidR="008F7C2D" w:rsidRDefault="00CD2D16" w:rsidP="00FB2139">
      <w:pPr>
        <w:pStyle w:val="ListParagraph"/>
        <w:numPr>
          <w:ilvl w:val="0"/>
          <w:numId w:val="29"/>
        </w:numPr>
        <w:spacing w:after="60" w:line="240" w:lineRule="auto"/>
        <w:ind w:left="924" w:hanging="357"/>
        <w:contextualSpacing w:val="0"/>
        <w:jc w:val="both"/>
        <w:rPr>
          <w:rFonts w:ascii="Arial" w:eastAsia="Times New Roman" w:hAnsi="Arial" w:cs="Arial"/>
          <w:sz w:val="24"/>
          <w:szCs w:val="24"/>
          <w:lang w:val="en-US"/>
        </w:rPr>
      </w:pPr>
      <w:r w:rsidRPr="008F7C2D">
        <w:rPr>
          <w:rFonts w:ascii="Arial" w:eastAsia="Times New Roman" w:hAnsi="Arial" w:cs="Arial"/>
          <w:i/>
          <w:sz w:val="24"/>
          <w:szCs w:val="24"/>
          <w:lang w:val="en-US"/>
        </w:rPr>
        <w:t>Coles Supermarkets Enterprise Agreement 2017</w:t>
      </w:r>
      <w:r>
        <w:rPr>
          <w:rFonts w:ascii="Arial" w:eastAsia="Times New Roman" w:hAnsi="Arial" w:cs="Arial"/>
          <w:sz w:val="24"/>
          <w:szCs w:val="24"/>
          <w:lang w:val="en-US"/>
        </w:rPr>
        <w:t xml:space="preserve"> (covering approximately 8</w:t>
      </w:r>
      <w:r w:rsidR="00386737">
        <w:rPr>
          <w:rFonts w:ascii="Arial" w:eastAsia="Times New Roman" w:hAnsi="Arial" w:cs="Arial"/>
          <w:sz w:val="24"/>
          <w:szCs w:val="24"/>
          <w:lang w:val="en-US"/>
        </w:rPr>
        <w:t>2</w:t>
      </w:r>
      <w:r>
        <w:rPr>
          <w:rFonts w:ascii="Arial" w:eastAsia="Times New Roman" w:hAnsi="Arial" w:cs="Arial"/>
          <w:sz w:val="24"/>
          <w:szCs w:val="24"/>
          <w:lang w:val="en-US"/>
        </w:rPr>
        <w:t>,000 employees throughout Australia)</w:t>
      </w:r>
    </w:p>
    <w:p w:rsidR="00386737" w:rsidRDefault="00CD2D16" w:rsidP="00FB2139">
      <w:pPr>
        <w:pStyle w:val="ListParagraph"/>
        <w:numPr>
          <w:ilvl w:val="0"/>
          <w:numId w:val="29"/>
        </w:numPr>
        <w:spacing w:after="60" w:line="240" w:lineRule="auto"/>
        <w:contextualSpacing w:val="0"/>
        <w:jc w:val="both"/>
        <w:rPr>
          <w:rFonts w:ascii="Arial" w:eastAsia="Times New Roman" w:hAnsi="Arial" w:cs="Arial"/>
          <w:sz w:val="24"/>
          <w:szCs w:val="24"/>
          <w:lang w:val="en-US"/>
        </w:rPr>
      </w:pPr>
      <w:r w:rsidRPr="008F7C2D">
        <w:rPr>
          <w:rFonts w:ascii="Arial" w:eastAsia="Times New Roman" w:hAnsi="Arial" w:cs="Arial"/>
          <w:i/>
          <w:sz w:val="24"/>
          <w:szCs w:val="24"/>
          <w:lang w:val="en-US"/>
        </w:rPr>
        <w:t>Woolworths Supermarkets Agreement 2018</w:t>
      </w:r>
      <w:r w:rsidRPr="008F7C2D">
        <w:rPr>
          <w:rFonts w:ascii="Arial" w:eastAsia="Times New Roman" w:hAnsi="Arial" w:cs="Arial"/>
          <w:sz w:val="24"/>
          <w:szCs w:val="24"/>
          <w:lang w:val="en-US"/>
        </w:rPr>
        <w:t xml:space="preserve"> </w:t>
      </w:r>
      <w:r w:rsidR="0063437A" w:rsidRPr="008F7C2D">
        <w:rPr>
          <w:rFonts w:ascii="Arial" w:eastAsia="Times New Roman" w:hAnsi="Arial" w:cs="Arial"/>
          <w:sz w:val="24"/>
          <w:szCs w:val="24"/>
          <w:lang w:val="en-US"/>
        </w:rPr>
        <w:t xml:space="preserve">(covering </w:t>
      </w:r>
      <w:r w:rsidR="00F16EEC">
        <w:rPr>
          <w:rFonts w:ascii="Arial" w:eastAsia="Times New Roman" w:hAnsi="Arial" w:cs="Arial"/>
          <w:sz w:val="24"/>
          <w:szCs w:val="24"/>
          <w:lang w:val="en-US"/>
        </w:rPr>
        <w:t xml:space="preserve">approximately 110,000 </w:t>
      </w:r>
      <w:r w:rsidR="0063437A" w:rsidRPr="008F7C2D">
        <w:rPr>
          <w:rFonts w:ascii="Arial" w:eastAsia="Times New Roman" w:hAnsi="Arial" w:cs="Arial"/>
          <w:sz w:val="24"/>
          <w:szCs w:val="24"/>
          <w:lang w:val="en-US"/>
        </w:rPr>
        <w:t>employees throughout Australia)</w:t>
      </w:r>
    </w:p>
    <w:p w:rsidR="00815911" w:rsidRPr="00815911" w:rsidRDefault="00386737" w:rsidP="00FB2139">
      <w:pPr>
        <w:pStyle w:val="ListParagraph"/>
        <w:numPr>
          <w:ilvl w:val="0"/>
          <w:numId w:val="29"/>
        </w:numPr>
        <w:spacing w:after="60" w:line="240" w:lineRule="auto"/>
        <w:contextualSpacing w:val="0"/>
        <w:jc w:val="both"/>
        <w:rPr>
          <w:rFonts w:ascii="Arial" w:eastAsiaTheme="minorEastAsia" w:hAnsi="Arial" w:cs="Arial"/>
          <w:sz w:val="24"/>
          <w:szCs w:val="24"/>
        </w:rPr>
      </w:pPr>
      <w:r w:rsidRPr="00815911">
        <w:rPr>
          <w:rFonts w:ascii="Arial" w:hAnsi="Arial" w:cs="Arial"/>
          <w:i/>
          <w:sz w:val="24"/>
          <w:szCs w:val="24"/>
        </w:rPr>
        <w:t xml:space="preserve">Southern Cross Care (NSW &amp; ACT) Enterprise Agreement 2017 - 2020  </w:t>
      </w:r>
      <w:r w:rsidRPr="00815911">
        <w:rPr>
          <w:rFonts w:ascii="Arial" w:hAnsi="Arial" w:cs="Arial"/>
          <w:sz w:val="24"/>
          <w:szCs w:val="24"/>
        </w:rPr>
        <w:t>(</w:t>
      </w:r>
      <w:r w:rsidR="00815911" w:rsidRPr="00815911">
        <w:rPr>
          <w:rFonts w:ascii="Arial" w:hAnsi="Arial" w:cs="Arial"/>
          <w:sz w:val="24"/>
          <w:szCs w:val="24"/>
        </w:rPr>
        <w:t xml:space="preserve">covering approximately </w:t>
      </w:r>
      <w:r w:rsidRPr="00815911">
        <w:rPr>
          <w:rFonts w:ascii="Arial" w:hAnsi="Arial" w:cs="Arial"/>
          <w:sz w:val="24"/>
          <w:szCs w:val="24"/>
        </w:rPr>
        <w:t>2,</w:t>
      </w:r>
      <w:r w:rsidR="00815911" w:rsidRPr="00815911">
        <w:rPr>
          <w:rFonts w:ascii="Arial" w:hAnsi="Arial" w:cs="Arial"/>
          <w:sz w:val="24"/>
          <w:szCs w:val="24"/>
        </w:rPr>
        <w:t>000</w:t>
      </w:r>
      <w:r w:rsidRPr="00815911">
        <w:rPr>
          <w:rFonts w:ascii="Arial" w:hAnsi="Arial" w:cs="Arial"/>
          <w:sz w:val="24"/>
          <w:szCs w:val="24"/>
        </w:rPr>
        <w:t xml:space="preserve"> employees)</w:t>
      </w:r>
      <w:r w:rsidR="00815911" w:rsidRPr="00815911">
        <w:rPr>
          <w:rStyle w:val="FootnoteReference"/>
          <w:rFonts w:ascii="Arial" w:hAnsi="Arial" w:cs="Arial"/>
          <w:sz w:val="24"/>
          <w:szCs w:val="24"/>
        </w:rPr>
        <w:footnoteReference w:id="23"/>
      </w:r>
    </w:p>
    <w:p w:rsidR="00386737" w:rsidRPr="00815911" w:rsidRDefault="00386737" w:rsidP="00FB2139">
      <w:pPr>
        <w:pStyle w:val="ListParagraph"/>
        <w:numPr>
          <w:ilvl w:val="0"/>
          <w:numId w:val="32"/>
        </w:numPr>
        <w:spacing w:after="240" w:line="240" w:lineRule="auto"/>
        <w:ind w:left="924" w:hanging="357"/>
        <w:contextualSpacing w:val="0"/>
        <w:jc w:val="both"/>
        <w:rPr>
          <w:rFonts w:ascii="Arial" w:hAnsi="Arial" w:cs="Arial"/>
          <w:sz w:val="24"/>
          <w:szCs w:val="24"/>
        </w:rPr>
      </w:pPr>
      <w:r w:rsidRPr="00815911">
        <w:rPr>
          <w:rFonts w:ascii="Arial" w:hAnsi="Arial" w:cs="Arial"/>
          <w:i/>
          <w:sz w:val="24"/>
          <w:szCs w:val="24"/>
        </w:rPr>
        <w:t>ISS Facility Services and United Voice Cleaning Services Enterprise Agreement</w:t>
      </w:r>
      <w:r w:rsidR="00FB2139">
        <w:rPr>
          <w:rFonts w:ascii="Arial" w:hAnsi="Arial" w:cs="Arial"/>
          <w:i/>
          <w:sz w:val="24"/>
          <w:szCs w:val="24"/>
        </w:rPr>
        <w:t> </w:t>
      </w:r>
      <w:r w:rsidRPr="00815911">
        <w:rPr>
          <w:rFonts w:ascii="Arial" w:hAnsi="Arial" w:cs="Arial"/>
          <w:i/>
          <w:sz w:val="24"/>
          <w:szCs w:val="24"/>
        </w:rPr>
        <w:t>2017</w:t>
      </w:r>
      <w:r w:rsidR="00815911">
        <w:rPr>
          <w:rFonts w:ascii="Arial" w:hAnsi="Arial" w:cs="Arial"/>
          <w:i/>
          <w:sz w:val="24"/>
          <w:szCs w:val="24"/>
        </w:rPr>
        <w:t xml:space="preserve"> </w:t>
      </w:r>
      <w:r w:rsidRPr="00815911">
        <w:rPr>
          <w:rFonts w:ascii="Arial" w:hAnsi="Arial" w:cs="Arial"/>
          <w:sz w:val="24"/>
          <w:szCs w:val="24"/>
        </w:rPr>
        <w:t>(</w:t>
      </w:r>
      <w:r w:rsidR="00815911" w:rsidRPr="00815911">
        <w:rPr>
          <w:rFonts w:ascii="Arial" w:hAnsi="Arial" w:cs="Arial"/>
          <w:sz w:val="24"/>
          <w:szCs w:val="24"/>
        </w:rPr>
        <w:t>covering approximately 4,000</w:t>
      </w:r>
      <w:r w:rsidRPr="00815911">
        <w:rPr>
          <w:rFonts w:ascii="Arial" w:hAnsi="Arial" w:cs="Arial"/>
          <w:sz w:val="24"/>
          <w:szCs w:val="24"/>
        </w:rPr>
        <w:t xml:space="preserve"> employees)</w:t>
      </w:r>
    </w:p>
    <w:p w:rsidR="001F726F" w:rsidRPr="00DE3E74"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DE3E74">
        <w:rPr>
          <w:rFonts w:ascii="Arial" w:eastAsia="Times New Roman" w:hAnsi="Arial" w:cs="Arial"/>
          <w:sz w:val="24"/>
          <w:szCs w:val="24"/>
          <w:lang w:val="en-US"/>
        </w:rPr>
        <w:lastRenderedPageBreak/>
        <w:t>Th</w:t>
      </w:r>
      <w:r w:rsidR="00765AED" w:rsidRPr="00DE3E74">
        <w:rPr>
          <w:rFonts w:ascii="Arial" w:eastAsia="Times New Roman" w:hAnsi="Arial" w:cs="Arial"/>
          <w:sz w:val="24"/>
          <w:szCs w:val="24"/>
          <w:lang w:val="en-US"/>
        </w:rPr>
        <w:t xml:space="preserve">e federal award system </w:t>
      </w:r>
      <w:r w:rsidR="00351DB2" w:rsidRPr="00DE3E74">
        <w:rPr>
          <w:rFonts w:ascii="Arial" w:eastAsia="Times New Roman" w:hAnsi="Arial" w:cs="Arial"/>
          <w:sz w:val="24"/>
          <w:szCs w:val="24"/>
          <w:lang w:val="en-US"/>
        </w:rPr>
        <w:t xml:space="preserve">therefore continues to play an </w:t>
      </w:r>
      <w:r w:rsidR="00815911" w:rsidRPr="00DE3E74">
        <w:rPr>
          <w:rFonts w:ascii="Arial" w:eastAsia="Times New Roman" w:hAnsi="Arial" w:cs="Arial"/>
          <w:sz w:val="24"/>
          <w:szCs w:val="24"/>
          <w:lang w:val="en-US"/>
        </w:rPr>
        <w:t xml:space="preserve">important </w:t>
      </w:r>
      <w:r w:rsidRPr="00DE3E74">
        <w:rPr>
          <w:rFonts w:ascii="Arial" w:eastAsia="Times New Roman" w:hAnsi="Arial" w:cs="Arial"/>
          <w:sz w:val="24"/>
          <w:szCs w:val="24"/>
          <w:lang w:val="en-US"/>
        </w:rPr>
        <w:t xml:space="preserve">role </w:t>
      </w:r>
      <w:r w:rsidR="00815911" w:rsidRPr="00DE3E74">
        <w:rPr>
          <w:rFonts w:ascii="Arial" w:eastAsia="Times New Roman" w:hAnsi="Arial" w:cs="Arial"/>
          <w:sz w:val="24"/>
          <w:szCs w:val="24"/>
          <w:lang w:val="en-US"/>
        </w:rPr>
        <w:t xml:space="preserve">in underpinning </w:t>
      </w:r>
      <w:r w:rsidRPr="00DE3E74">
        <w:rPr>
          <w:rFonts w:ascii="Arial" w:eastAsia="Times New Roman" w:hAnsi="Arial" w:cs="Arial"/>
          <w:sz w:val="24"/>
          <w:szCs w:val="24"/>
          <w:lang w:val="en-US"/>
        </w:rPr>
        <w:t xml:space="preserve">Australia’s </w:t>
      </w:r>
      <w:r w:rsidR="00351DB2" w:rsidRPr="00DE3E74">
        <w:rPr>
          <w:rFonts w:ascii="Arial" w:eastAsia="Times New Roman" w:hAnsi="Arial" w:cs="Arial"/>
          <w:sz w:val="24"/>
          <w:szCs w:val="24"/>
          <w:lang w:val="en-US"/>
        </w:rPr>
        <w:t>enterprise bargaining framework</w:t>
      </w:r>
      <w:r w:rsidR="00DE3E74" w:rsidRPr="00DE3E74">
        <w:rPr>
          <w:rFonts w:ascii="Arial" w:eastAsia="Times New Roman" w:hAnsi="Arial" w:cs="Arial"/>
          <w:sz w:val="24"/>
          <w:szCs w:val="24"/>
          <w:lang w:val="en-US"/>
        </w:rPr>
        <w:t xml:space="preserve">. The impact of the Panel’s determinations in the AWR extend beyond </w:t>
      </w:r>
      <w:r w:rsidR="00DE3E74">
        <w:rPr>
          <w:rFonts w:ascii="Arial" w:eastAsia="Times New Roman" w:hAnsi="Arial" w:cs="Arial"/>
          <w:sz w:val="24"/>
          <w:szCs w:val="24"/>
          <w:lang w:val="en-US"/>
        </w:rPr>
        <w:t xml:space="preserve">award and minimum wage workers, influencing wage outcomes in a variety of pay setting arrangements. </w:t>
      </w:r>
    </w:p>
    <w:p w:rsidR="009B1A62" w:rsidRPr="00884360" w:rsidRDefault="009B1A62"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9B1A62">
        <w:rPr>
          <w:rFonts w:ascii="Arial" w:eastAsia="Times New Roman" w:hAnsi="Arial" w:cs="Arial"/>
          <w:sz w:val="24"/>
          <w:szCs w:val="24"/>
          <w:lang w:val="en-US"/>
        </w:rPr>
        <w:t xml:space="preserve">In satisfying the modern awards objective, </w:t>
      </w:r>
      <w:r w:rsidRPr="009B1A62">
        <w:rPr>
          <w:color w:val="000000"/>
          <w:sz w:val="24"/>
          <w:szCs w:val="24"/>
          <w:shd w:val="clear" w:color="auto" w:fill="FFFFFF"/>
        </w:rPr>
        <w:t>the Panel is required to consider the need to encourage collective bargaining.</w:t>
      </w:r>
      <w:r w:rsidRPr="009B1A62">
        <w:rPr>
          <w:rStyle w:val="FootnoteReference"/>
          <w:color w:val="000000"/>
          <w:sz w:val="24"/>
          <w:szCs w:val="24"/>
          <w:shd w:val="clear" w:color="auto" w:fill="FFFFFF"/>
        </w:rPr>
        <w:footnoteReference w:id="24"/>
      </w:r>
    </w:p>
    <w:p w:rsidR="00884360" w:rsidRDefault="005A6C89"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In last year’s AWR the Panel made the following observations regarding the impact of the National Minimum Wage Order on collective bargaining:</w:t>
      </w:r>
      <w:r w:rsidR="00C61599">
        <w:rPr>
          <w:rStyle w:val="FootnoteReference"/>
          <w:rFonts w:ascii="Arial" w:eastAsia="Times New Roman" w:hAnsi="Arial" w:cs="Arial"/>
          <w:sz w:val="24"/>
          <w:szCs w:val="24"/>
          <w:lang w:val="en-US"/>
        </w:rPr>
        <w:footnoteReference w:id="25"/>
      </w:r>
      <w:r>
        <w:rPr>
          <w:rFonts w:ascii="Arial" w:eastAsia="Times New Roman" w:hAnsi="Arial" w:cs="Arial"/>
          <w:sz w:val="24"/>
          <w:szCs w:val="24"/>
          <w:lang w:val="en-US"/>
        </w:rPr>
        <w:t xml:space="preserve"> </w:t>
      </w:r>
    </w:p>
    <w:p w:rsidR="005A6C89" w:rsidRPr="00762EFD" w:rsidRDefault="005A6C89" w:rsidP="00640CE3">
      <w:pPr>
        <w:spacing w:after="120" w:line="240" w:lineRule="auto"/>
        <w:ind w:left="851" w:right="284"/>
        <w:jc w:val="both"/>
        <w:rPr>
          <w:sz w:val="20"/>
          <w:szCs w:val="20"/>
        </w:rPr>
      </w:pPr>
      <w:r w:rsidRPr="00762EFD">
        <w:rPr>
          <w:sz w:val="20"/>
          <w:szCs w:val="20"/>
        </w:rPr>
        <w:t xml:space="preserve">As mentioned earlier, one of the matters we are required to take into account is ‘the need to encourage collective bargaining.’ As set out in Chapter 4, while we accept that there has been a decline in current enterprise agreement making, a range of factors impact on the propensity to engage in collective bargaining, many of which are unrelated to increases in the NMW and modern award minimum wages. </w:t>
      </w:r>
    </w:p>
    <w:p w:rsidR="005A6C89" w:rsidRPr="00762EFD" w:rsidRDefault="005A6C89" w:rsidP="00640CE3">
      <w:pPr>
        <w:spacing w:after="120" w:line="240" w:lineRule="auto"/>
        <w:ind w:left="851" w:right="284"/>
        <w:jc w:val="both"/>
        <w:rPr>
          <w:sz w:val="20"/>
          <w:szCs w:val="20"/>
        </w:rPr>
      </w:pPr>
      <w:r w:rsidRPr="00762EFD">
        <w:rPr>
          <w:sz w:val="20"/>
          <w:szCs w:val="20"/>
        </w:rPr>
        <w:t xml:space="preserve">We are not persuaded that the gap between modern award minimum wages and bargained wages, to the extent it can be identified with any precision, has reached a level where it is encouraging or discouraging collective bargaining. </w:t>
      </w:r>
    </w:p>
    <w:p w:rsidR="005A6C89" w:rsidRPr="00762EFD" w:rsidRDefault="005A6C89" w:rsidP="005A6C89">
      <w:pPr>
        <w:spacing w:after="240" w:line="240" w:lineRule="auto"/>
        <w:ind w:left="851" w:right="284"/>
        <w:jc w:val="both"/>
        <w:rPr>
          <w:rFonts w:ascii="Arial" w:eastAsia="Times New Roman" w:hAnsi="Arial" w:cs="Arial"/>
          <w:color w:val="000000" w:themeColor="text1"/>
          <w:sz w:val="20"/>
          <w:szCs w:val="20"/>
          <w:lang w:val="en-US"/>
        </w:rPr>
      </w:pPr>
      <w:r w:rsidRPr="00762EFD">
        <w:rPr>
          <w:sz w:val="20"/>
          <w:szCs w:val="20"/>
        </w:rPr>
        <w:t>We maintain the view expressed in past Review decisions that given the complexity of factors which may contribute to decision making about whether or not to bargain, we are unable to predict the precise impact of our decision. We cannot be satisfied that the increase we have determined will encourage collective bargaining and this is a factor to be weighed along with the other statutory considerations. However, we are also of the view that it is likely that the increase we have determined in this Review will impact on different sectors in different ways and will not, in aggregate, discourage collective bargaining.</w:t>
      </w:r>
    </w:p>
    <w:p w:rsidR="00ED0408" w:rsidRPr="00B41DD7" w:rsidRDefault="005A6C89" w:rsidP="00ED0408">
      <w:pPr>
        <w:pStyle w:val="ListParagraph"/>
        <w:numPr>
          <w:ilvl w:val="0"/>
          <w:numId w:val="25"/>
        </w:numPr>
        <w:spacing w:after="240" w:line="240" w:lineRule="auto"/>
        <w:ind w:left="567" w:hanging="567"/>
        <w:contextualSpacing w:val="0"/>
        <w:jc w:val="both"/>
        <w:rPr>
          <w:rFonts w:ascii="Arial" w:eastAsia="Times New Roman" w:hAnsi="Arial" w:cs="Arial"/>
          <w:b/>
          <w:color w:val="C00000"/>
          <w:sz w:val="24"/>
          <w:szCs w:val="24"/>
          <w:lang w:val="en-US"/>
        </w:rPr>
      </w:pPr>
      <w:r w:rsidRPr="00B41DD7">
        <w:rPr>
          <w:rFonts w:ascii="Arial" w:eastAsia="Times New Roman" w:hAnsi="Arial" w:cs="Arial"/>
          <w:sz w:val="24"/>
          <w:szCs w:val="24"/>
          <w:lang w:val="en-US"/>
        </w:rPr>
        <w:t>The Western</w:t>
      </w:r>
      <w:r w:rsidRPr="00ED0408">
        <w:rPr>
          <w:rFonts w:ascii="Arial" w:eastAsia="Times New Roman" w:hAnsi="Arial" w:cs="Arial"/>
          <w:sz w:val="24"/>
          <w:szCs w:val="24"/>
          <w:lang w:val="en-US"/>
        </w:rPr>
        <w:t xml:space="preserve"> Australian Government concurs with the above observations, and acknowledges that there are a variety of factors that influence the incidence of collective bargaining in </w:t>
      </w:r>
      <w:r w:rsidRPr="00B41DD7">
        <w:rPr>
          <w:rFonts w:ascii="Arial" w:eastAsia="Times New Roman" w:hAnsi="Arial" w:cs="Arial"/>
          <w:sz w:val="24"/>
          <w:szCs w:val="24"/>
          <w:lang w:val="en-US"/>
        </w:rPr>
        <w:t>Australia</w:t>
      </w:r>
      <w:r w:rsidR="00F324BA" w:rsidRPr="00B41DD7">
        <w:rPr>
          <w:rFonts w:ascii="Arial" w:eastAsia="Times New Roman" w:hAnsi="Arial" w:cs="Arial"/>
          <w:sz w:val="24"/>
          <w:szCs w:val="24"/>
          <w:lang w:val="en-US"/>
        </w:rPr>
        <w:t>.</w:t>
      </w:r>
      <w:r w:rsidR="0072247E" w:rsidRPr="00B41DD7">
        <w:rPr>
          <w:rFonts w:ascii="Arial" w:eastAsia="Times New Roman" w:hAnsi="Arial" w:cs="Arial"/>
          <w:sz w:val="24"/>
          <w:szCs w:val="24"/>
          <w:lang w:val="en-US"/>
        </w:rPr>
        <w:t xml:space="preserve"> </w:t>
      </w:r>
      <w:r w:rsidR="00ED0408" w:rsidRPr="00B41DD7">
        <w:rPr>
          <w:rFonts w:ascii="Arial" w:eastAsia="Times New Roman" w:hAnsi="Arial" w:cs="Arial"/>
          <w:sz w:val="24"/>
          <w:szCs w:val="24"/>
          <w:lang w:val="en-US"/>
        </w:rPr>
        <w:t xml:space="preserve"> Fair and equitable minimum wage increases </w:t>
      </w:r>
      <w:r w:rsidR="00F63B93" w:rsidRPr="00B41DD7">
        <w:rPr>
          <w:rFonts w:ascii="Arial" w:eastAsia="Times New Roman" w:hAnsi="Arial" w:cs="Arial"/>
          <w:sz w:val="24"/>
          <w:szCs w:val="24"/>
          <w:lang w:val="en-US"/>
        </w:rPr>
        <w:t xml:space="preserve">are </w:t>
      </w:r>
      <w:r w:rsidR="00ED0408" w:rsidRPr="00B41DD7">
        <w:rPr>
          <w:rFonts w:ascii="Arial" w:eastAsia="Times New Roman" w:hAnsi="Arial" w:cs="Arial"/>
          <w:sz w:val="24"/>
          <w:szCs w:val="24"/>
          <w:lang w:val="en-US"/>
        </w:rPr>
        <w:t xml:space="preserve">unlikely to provide a disincentive to collective agreement-making. </w:t>
      </w:r>
    </w:p>
    <w:p w:rsidR="001F726F" w:rsidRPr="007533B8" w:rsidRDefault="001F726F" w:rsidP="001F726F">
      <w:pPr>
        <w:spacing w:after="240" w:line="240" w:lineRule="auto"/>
        <w:rPr>
          <w:rFonts w:ascii="Arial" w:eastAsia="Times New Roman" w:hAnsi="Arial" w:cs="Arial"/>
          <w:b/>
          <w:color w:val="C00000"/>
          <w:sz w:val="24"/>
          <w:szCs w:val="24"/>
          <w:lang w:val="en-US"/>
        </w:rPr>
      </w:pPr>
      <w:r w:rsidRPr="007533B8">
        <w:rPr>
          <w:rFonts w:ascii="Arial" w:eastAsia="Times New Roman" w:hAnsi="Arial" w:cs="Arial"/>
          <w:b/>
          <w:color w:val="C00000"/>
          <w:sz w:val="24"/>
          <w:szCs w:val="24"/>
          <w:lang w:val="en-US"/>
        </w:rPr>
        <w:t>Employees covered by individual arrangements</w:t>
      </w:r>
    </w:p>
    <w:p w:rsidR="006A48A5" w:rsidRPr="0051332F" w:rsidRDefault="00632600" w:rsidP="0051332F">
      <w:pPr>
        <w:pStyle w:val="ListParagraph"/>
        <w:numPr>
          <w:ilvl w:val="0"/>
          <w:numId w:val="25"/>
        </w:numPr>
        <w:spacing w:after="240" w:line="240" w:lineRule="auto"/>
        <w:ind w:left="567" w:hanging="567"/>
        <w:contextualSpacing w:val="0"/>
        <w:jc w:val="both"/>
        <w:rPr>
          <w:rFonts w:ascii="Arial" w:eastAsia="Times New Roman" w:hAnsi="Arial" w:cs="Arial"/>
          <w:b/>
          <w:color w:val="17365D" w:themeColor="text2" w:themeShade="BF"/>
          <w:sz w:val="24"/>
          <w:szCs w:val="24"/>
          <w:lang w:val="en-US"/>
        </w:rPr>
      </w:pPr>
      <w:r>
        <w:rPr>
          <w:rFonts w:ascii="Arial" w:eastAsia="Times New Roman" w:hAnsi="Arial" w:cs="Arial"/>
          <w:color w:val="000000" w:themeColor="text1"/>
          <w:sz w:val="24"/>
          <w:szCs w:val="24"/>
          <w:lang w:val="en-US"/>
        </w:rPr>
        <w:t>T</w:t>
      </w:r>
      <w:r w:rsidR="001F726F" w:rsidRPr="0060351D">
        <w:rPr>
          <w:rFonts w:ascii="Arial" w:eastAsia="Times New Roman" w:hAnsi="Arial" w:cs="Arial"/>
          <w:color w:val="000000" w:themeColor="text1"/>
          <w:sz w:val="24"/>
          <w:szCs w:val="24"/>
          <w:lang w:val="en-US"/>
        </w:rPr>
        <w:t xml:space="preserve">he National </w:t>
      </w:r>
      <w:r w:rsidR="008C1826">
        <w:rPr>
          <w:rFonts w:ascii="Arial" w:eastAsia="Times New Roman" w:hAnsi="Arial" w:cs="Arial"/>
          <w:color w:val="000000" w:themeColor="text1"/>
          <w:sz w:val="24"/>
          <w:szCs w:val="24"/>
          <w:lang w:val="en-US"/>
        </w:rPr>
        <w:t xml:space="preserve">Minimum </w:t>
      </w:r>
      <w:r w:rsidR="001F726F" w:rsidRPr="0060351D">
        <w:rPr>
          <w:rFonts w:ascii="Arial" w:eastAsia="Times New Roman" w:hAnsi="Arial" w:cs="Arial"/>
          <w:color w:val="000000" w:themeColor="text1"/>
          <w:sz w:val="24"/>
          <w:szCs w:val="24"/>
          <w:lang w:val="en-US"/>
        </w:rPr>
        <w:t xml:space="preserve">Wage Order does not directly </w:t>
      </w:r>
      <w:r>
        <w:rPr>
          <w:rFonts w:ascii="Arial" w:eastAsia="Times New Roman" w:hAnsi="Arial" w:cs="Arial"/>
          <w:color w:val="000000" w:themeColor="text1"/>
          <w:sz w:val="24"/>
          <w:szCs w:val="24"/>
          <w:lang w:val="en-US"/>
        </w:rPr>
        <w:t>affect</w:t>
      </w:r>
      <w:r w:rsidR="001F726F" w:rsidRPr="0060351D">
        <w:rPr>
          <w:rFonts w:ascii="Arial" w:eastAsia="Times New Roman" w:hAnsi="Arial" w:cs="Arial"/>
          <w:color w:val="000000" w:themeColor="text1"/>
          <w:sz w:val="24"/>
          <w:szCs w:val="24"/>
          <w:lang w:val="en-US"/>
        </w:rPr>
        <w:t xml:space="preserve"> employees working under individual arrangements</w:t>
      </w:r>
      <w:r w:rsidR="008C1826">
        <w:rPr>
          <w:rFonts w:ascii="Arial" w:eastAsia="Times New Roman" w:hAnsi="Arial" w:cs="Arial"/>
          <w:color w:val="000000" w:themeColor="text1"/>
          <w:sz w:val="24"/>
          <w:szCs w:val="24"/>
          <w:lang w:val="en-US"/>
        </w:rPr>
        <w:t xml:space="preserve"> that provide for above award rates of pay</w:t>
      </w:r>
      <w:r w:rsidR="0051332F">
        <w:rPr>
          <w:rFonts w:ascii="Arial" w:eastAsia="Times New Roman" w:hAnsi="Arial" w:cs="Arial"/>
          <w:color w:val="000000" w:themeColor="text1"/>
          <w:sz w:val="24"/>
          <w:szCs w:val="24"/>
          <w:lang w:val="en-US"/>
        </w:rPr>
        <w:t xml:space="preserve">. </w:t>
      </w:r>
      <w:r w:rsidRPr="0051332F">
        <w:rPr>
          <w:rFonts w:ascii="Arial" w:eastAsia="Times New Roman" w:hAnsi="Arial" w:cs="Arial"/>
          <w:color w:val="000000" w:themeColor="text1"/>
          <w:sz w:val="24"/>
          <w:szCs w:val="24"/>
          <w:lang w:val="en-US"/>
        </w:rPr>
        <w:t xml:space="preserve">However, </w:t>
      </w:r>
      <w:r w:rsidR="001F726F" w:rsidRPr="0051332F">
        <w:rPr>
          <w:rFonts w:ascii="Arial" w:eastAsia="Times New Roman" w:hAnsi="Arial" w:cs="Arial"/>
          <w:color w:val="000000" w:themeColor="text1"/>
          <w:sz w:val="24"/>
          <w:szCs w:val="24"/>
          <w:lang w:val="en-US"/>
        </w:rPr>
        <w:t xml:space="preserve">some common law contracts of employment may contain provisions linking future wage increases to the movements in the NMW or modern award wages. </w:t>
      </w:r>
    </w:p>
    <w:p w:rsidR="001F726F" w:rsidRPr="0051332F" w:rsidRDefault="001F726F" w:rsidP="00351DB2">
      <w:pPr>
        <w:pStyle w:val="ListParagraph"/>
        <w:numPr>
          <w:ilvl w:val="0"/>
          <w:numId w:val="25"/>
        </w:numPr>
        <w:spacing w:after="240" w:line="240" w:lineRule="auto"/>
        <w:ind w:left="567" w:hanging="567"/>
        <w:contextualSpacing w:val="0"/>
        <w:jc w:val="both"/>
        <w:rPr>
          <w:rFonts w:ascii="Arial" w:eastAsia="Times New Roman" w:hAnsi="Arial" w:cs="Arial"/>
          <w:b/>
          <w:color w:val="17365D" w:themeColor="text2" w:themeShade="BF"/>
          <w:sz w:val="24"/>
          <w:szCs w:val="24"/>
          <w:lang w:val="en-US"/>
        </w:rPr>
      </w:pPr>
      <w:r w:rsidRPr="00351DB2">
        <w:rPr>
          <w:rFonts w:ascii="Arial" w:eastAsia="Times New Roman" w:hAnsi="Arial" w:cs="Arial"/>
          <w:color w:val="000000" w:themeColor="text1"/>
          <w:sz w:val="24"/>
          <w:szCs w:val="24"/>
          <w:lang w:val="en-US"/>
        </w:rPr>
        <w:t xml:space="preserve">As the Panel noted in last year’s AWR </w:t>
      </w:r>
      <w:r w:rsidRPr="00351DB2">
        <w:rPr>
          <w:rFonts w:ascii="Arial" w:eastAsia="Times New Roman" w:hAnsi="Arial" w:cs="Arial"/>
          <w:i/>
          <w:color w:val="000000" w:themeColor="text1"/>
          <w:sz w:val="24"/>
          <w:szCs w:val="24"/>
          <w:lang w:val="en-US"/>
        </w:rPr>
        <w:t>“</w:t>
      </w:r>
      <w:r w:rsidR="00351DB2" w:rsidRPr="00351DB2">
        <w:rPr>
          <w:i/>
        </w:rPr>
        <w:t>It is also likely that there are workers whose pay is set by individual arrangements which are referenced to an award rate</w:t>
      </w:r>
      <w:r w:rsidR="00DC263C">
        <w:rPr>
          <w:i/>
        </w:rPr>
        <w:t xml:space="preserve"> - </w:t>
      </w:r>
      <w:r w:rsidR="00351DB2" w:rsidRPr="00351DB2">
        <w:rPr>
          <w:i/>
        </w:rPr>
        <w:t>for example, by being paid a certain dollar amount or percentage above the modern award</w:t>
      </w:r>
      <w:r w:rsidRPr="00351DB2">
        <w:rPr>
          <w:rFonts w:ascii="Arial" w:hAnsi="Arial" w:cs="Arial"/>
          <w:i/>
          <w:color w:val="000000"/>
          <w:sz w:val="24"/>
          <w:szCs w:val="24"/>
        </w:rPr>
        <w:t>.”</w:t>
      </w:r>
      <w:r w:rsidRPr="00351DB2">
        <w:rPr>
          <w:rStyle w:val="FootnoteReference"/>
          <w:rFonts w:ascii="Arial" w:eastAsia="Times New Roman" w:hAnsi="Arial" w:cs="Arial"/>
          <w:color w:val="000000" w:themeColor="text1"/>
          <w:sz w:val="24"/>
          <w:szCs w:val="24"/>
          <w:lang w:val="en-US"/>
        </w:rPr>
        <w:t xml:space="preserve"> </w:t>
      </w:r>
      <w:r w:rsidRPr="00351DB2">
        <w:rPr>
          <w:rStyle w:val="FootnoteReference"/>
          <w:rFonts w:ascii="Arial" w:eastAsia="Times New Roman" w:hAnsi="Arial" w:cs="Arial"/>
          <w:color w:val="000000" w:themeColor="text1"/>
          <w:sz w:val="24"/>
          <w:szCs w:val="24"/>
          <w:lang w:val="en-US"/>
        </w:rPr>
        <w:footnoteReference w:id="26"/>
      </w:r>
    </w:p>
    <w:p w:rsidR="0051332F" w:rsidRPr="00351DB2" w:rsidRDefault="0051332F" w:rsidP="0051332F">
      <w:pPr>
        <w:pStyle w:val="ListParagraph"/>
        <w:numPr>
          <w:ilvl w:val="0"/>
          <w:numId w:val="25"/>
        </w:numPr>
        <w:spacing w:after="240" w:line="240" w:lineRule="auto"/>
        <w:ind w:left="567" w:hanging="567"/>
        <w:contextualSpacing w:val="0"/>
        <w:jc w:val="both"/>
        <w:rPr>
          <w:rFonts w:ascii="Arial" w:eastAsia="Times New Roman" w:hAnsi="Arial" w:cs="Arial"/>
          <w:b/>
          <w:color w:val="17365D" w:themeColor="text2" w:themeShade="BF"/>
          <w:sz w:val="24"/>
          <w:szCs w:val="24"/>
          <w:lang w:val="en-US"/>
        </w:rPr>
      </w:pPr>
      <w:r w:rsidRPr="0060351D">
        <w:rPr>
          <w:rFonts w:ascii="Arial" w:eastAsia="Times New Roman" w:hAnsi="Arial" w:cs="Arial"/>
          <w:color w:val="000000" w:themeColor="text1"/>
          <w:sz w:val="24"/>
          <w:szCs w:val="24"/>
          <w:lang w:val="en-US"/>
        </w:rPr>
        <w:t xml:space="preserve">Additionally, contracts of employment that provide for wage rates only marginally above </w:t>
      </w:r>
      <w:r>
        <w:rPr>
          <w:rFonts w:ascii="Arial" w:eastAsia="Times New Roman" w:hAnsi="Arial" w:cs="Arial"/>
          <w:color w:val="000000" w:themeColor="text1"/>
          <w:sz w:val="24"/>
          <w:szCs w:val="24"/>
          <w:lang w:val="en-US"/>
        </w:rPr>
        <w:t xml:space="preserve">the relevant </w:t>
      </w:r>
      <w:r w:rsidRPr="0060351D">
        <w:rPr>
          <w:rFonts w:ascii="Arial" w:eastAsia="Times New Roman" w:hAnsi="Arial" w:cs="Arial"/>
          <w:color w:val="000000" w:themeColor="text1"/>
          <w:sz w:val="24"/>
          <w:szCs w:val="24"/>
          <w:lang w:val="en-US"/>
        </w:rPr>
        <w:t xml:space="preserve">award </w:t>
      </w:r>
      <w:r>
        <w:rPr>
          <w:rFonts w:ascii="Arial" w:eastAsia="Times New Roman" w:hAnsi="Arial" w:cs="Arial"/>
          <w:color w:val="000000" w:themeColor="text1"/>
          <w:sz w:val="24"/>
          <w:szCs w:val="24"/>
          <w:lang w:val="en-US"/>
        </w:rPr>
        <w:t xml:space="preserve">minimum </w:t>
      </w:r>
      <w:r w:rsidRPr="0060351D">
        <w:rPr>
          <w:rFonts w:ascii="Arial" w:eastAsia="Times New Roman" w:hAnsi="Arial" w:cs="Arial"/>
          <w:color w:val="000000" w:themeColor="text1"/>
          <w:sz w:val="24"/>
          <w:szCs w:val="24"/>
          <w:lang w:val="en-US"/>
        </w:rPr>
        <w:t>may be impacted by any decision th</w:t>
      </w:r>
      <w:r>
        <w:rPr>
          <w:rFonts w:ascii="Arial" w:eastAsia="Times New Roman" w:hAnsi="Arial" w:cs="Arial"/>
          <w:color w:val="000000" w:themeColor="text1"/>
          <w:sz w:val="24"/>
          <w:szCs w:val="24"/>
          <w:lang w:val="en-US"/>
        </w:rPr>
        <w:t>e</w:t>
      </w:r>
      <w:r w:rsidRPr="0060351D">
        <w:rPr>
          <w:rFonts w:ascii="Arial" w:eastAsia="Times New Roman" w:hAnsi="Arial" w:cs="Arial"/>
          <w:color w:val="000000" w:themeColor="text1"/>
          <w:sz w:val="24"/>
          <w:szCs w:val="24"/>
          <w:lang w:val="en-US"/>
        </w:rPr>
        <w:t xml:space="preserve"> Panel makes in this year’s AWR. </w:t>
      </w:r>
    </w:p>
    <w:p w:rsidR="001F726F" w:rsidRPr="0060351D" w:rsidRDefault="001F726F" w:rsidP="00214A7A">
      <w:pPr>
        <w:pStyle w:val="Heading1"/>
        <w:spacing w:before="0" w:after="0" w:line="240" w:lineRule="auto"/>
        <w:rPr>
          <w:lang w:val="en-US"/>
        </w:rPr>
      </w:pPr>
      <w:r w:rsidRPr="0060351D">
        <w:rPr>
          <w:lang w:val="en-US"/>
        </w:rPr>
        <w:lastRenderedPageBreak/>
        <w:t>Further considerations</w:t>
      </w:r>
    </w:p>
    <w:p w:rsidR="00214A7A" w:rsidRDefault="00214A7A" w:rsidP="00214A7A">
      <w:pPr>
        <w:shd w:val="clear" w:color="auto" w:fill="FFFFFF"/>
        <w:spacing w:after="0" w:line="240" w:lineRule="auto"/>
        <w:jc w:val="both"/>
        <w:rPr>
          <w:rFonts w:ascii="Arial" w:eastAsia="Times New Roman" w:hAnsi="Arial" w:cs="Arial"/>
          <w:b/>
          <w:color w:val="C00000"/>
          <w:sz w:val="24"/>
          <w:szCs w:val="24"/>
          <w:lang w:eastAsia="en-AU"/>
        </w:rPr>
      </w:pPr>
    </w:p>
    <w:p w:rsidR="001F726F" w:rsidRPr="00604C6D" w:rsidRDefault="001F726F" w:rsidP="001F726F">
      <w:pPr>
        <w:shd w:val="clear" w:color="auto" w:fill="FFFFFF"/>
        <w:spacing w:after="240" w:line="240" w:lineRule="auto"/>
        <w:jc w:val="both"/>
        <w:rPr>
          <w:rFonts w:ascii="Arial" w:eastAsia="Times New Roman" w:hAnsi="Arial" w:cs="Arial"/>
          <w:b/>
          <w:color w:val="C00000"/>
          <w:sz w:val="24"/>
          <w:szCs w:val="24"/>
          <w:lang w:eastAsia="en-AU"/>
        </w:rPr>
      </w:pPr>
      <w:r w:rsidRPr="00604C6D">
        <w:rPr>
          <w:rFonts w:ascii="Arial" w:eastAsia="Times New Roman" w:hAnsi="Arial" w:cs="Arial"/>
          <w:b/>
          <w:color w:val="C00000"/>
          <w:sz w:val="24"/>
          <w:szCs w:val="24"/>
          <w:lang w:eastAsia="en-AU"/>
        </w:rPr>
        <w:t>Promoting social inclusion through increased workforce participation</w:t>
      </w:r>
    </w:p>
    <w:p w:rsidR="00604C6D" w:rsidRPr="00F324BA" w:rsidRDefault="00765AED" w:rsidP="00F324BA">
      <w:pPr>
        <w:pStyle w:val="ListParagraph"/>
        <w:numPr>
          <w:ilvl w:val="0"/>
          <w:numId w:val="25"/>
        </w:numPr>
        <w:spacing w:after="240" w:line="240" w:lineRule="auto"/>
        <w:ind w:left="567" w:hanging="567"/>
        <w:contextualSpacing w:val="0"/>
        <w:jc w:val="both"/>
        <w:rPr>
          <w:rFonts w:ascii="Arial" w:hAnsi="Arial" w:cs="Arial"/>
          <w:sz w:val="24"/>
          <w:szCs w:val="24"/>
        </w:rPr>
      </w:pPr>
      <w:r w:rsidRPr="00604C6D">
        <w:rPr>
          <w:rFonts w:ascii="Arial" w:hAnsi="Arial" w:cs="Arial"/>
          <w:sz w:val="24"/>
          <w:szCs w:val="24"/>
        </w:rPr>
        <w:t xml:space="preserve">The statutory </w:t>
      </w:r>
      <w:r w:rsidR="001F726F" w:rsidRPr="00604C6D">
        <w:rPr>
          <w:rFonts w:ascii="Arial" w:hAnsi="Arial" w:cs="Arial"/>
          <w:sz w:val="24"/>
          <w:szCs w:val="24"/>
        </w:rPr>
        <w:t xml:space="preserve">criteria the Panel is required to have regard to in meeting the minimum wages objective </w:t>
      </w:r>
      <w:r w:rsidR="00632600">
        <w:rPr>
          <w:rFonts w:ascii="Arial" w:hAnsi="Arial" w:cs="Arial"/>
          <w:sz w:val="24"/>
          <w:szCs w:val="24"/>
        </w:rPr>
        <w:t xml:space="preserve">also </w:t>
      </w:r>
      <w:r w:rsidRPr="00604C6D">
        <w:rPr>
          <w:rFonts w:ascii="Arial" w:hAnsi="Arial" w:cs="Arial"/>
          <w:sz w:val="24"/>
          <w:szCs w:val="24"/>
        </w:rPr>
        <w:t>includes “</w:t>
      </w:r>
      <w:r w:rsidR="001F726F" w:rsidRPr="00604C6D">
        <w:rPr>
          <w:rFonts w:ascii="Arial" w:eastAsia="Times New Roman" w:hAnsi="Arial" w:cs="Arial"/>
          <w:color w:val="000000"/>
          <w:sz w:val="24"/>
          <w:szCs w:val="24"/>
          <w:lang w:eastAsia="en-AU"/>
        </w:rPr>
        <w:t>promoting social inclusion through increased workforce participation.</w:t>
      </w:r>
      <w:r w:rsidRPr="00604C6D">
        <w:rPr>
          <w:rFonts w:ascii="Arial" w:eastAsia="Times New Roman" w:hAnsi="Arial" w:cs="Arial"/>
          <w:color w:val="000000"/>
          <w:sz w:val="24"/>
          <w:szCs w:val="24"/>
          <w:lang w:eastAsia="en-AU"/>
        </w:rPr>
        <w:t>”</w:t>
      </w:r>
      <w:r w:rsidR="001F726F" w:rsidRPr="00604C6D">
        <w:rPr>
          <w:rFonts w:ascii="Arial" w:eastAsia="Times New Roman" w:hAnsi="Arial" w:cs="Arial"/>
          <w:color w:val="000000"/>
          <w:sz w:val="24"/>
          <w:szCs w:val="24"/>
          <w:lang w:eastAsia="en-AU"/>
        </w:rPr>
        <w:t xml:space="preserve"> </w:t>
      </w:r>
    </w:p>
    <w:p w:rsidR="001F726F" w:rsidRPr="00604C6D" w:rsidRDefault="00604C6D" w:rsidP="001F726F">
      <w:pPr>
        <w:pStyle w:val="ListParagraph"/>
        <w:numPr>
          <w:ilvl w:val="0"/>
          <w:numId w:val="25"/>
        </w:numPr>
        <w:spacing w:after="240" w:line="240" w:lineRule="auto"/>
        <w:ind w:left="567" w:hanging="567"/>
        <w:contextualSpacing w:val="0"/>
        <w:jc w:val="both"/>
        <w:rPr>
          <w:rFonts w:ascii="Arial" w:hAnsi="Arial" w:cs="Arial"/>
          <w:sz w:val="24"/>
          <w:szCs w:val="24"/>
        </w:rPr>
      </w:pPr>
      <w:r w:rsidRPr="00604C6D">
        <w:rPr>
          <w:rFonts w:ascii="Arial" w:hAnsi="Arial" w:cs="Arial"/>
          <w:sz w:val="24"/>
          <w:szCs w:val="24"/>
        </w:rPr>
        <w:t xml:space="preserve">In the past year there has been a noticeable increase in </w:t>
      </w:r>
      <w:r w:rsidR="000F1E93">
        <w:rPr>
          <w:rFonts w:ascii="Arial" w:hAnsi="Arial" w:cs="Arial"/>
          <w:sz w:val="24"/>
          <w:szCs w:val="24"/>
        </w:rPr>
        <w:t xml:space="preserve">the </w:t>
      </w:r>
      <w:r w:rsidRPr="00604C6D">
        <w:rPr>
          <w:rFonts w:ascii="Arial" w:hAnsi="Arial" w:cs="Arial"/>
          <w:sz w:val="24"/>
          <w:szCs w:val="24"/>
        </w:rPr>
        <w:t>labour force participation</w:t>
      </w:r>
      <w:r w:rsidR="00F324BA">
        <w:rPr>
          <w:rFonts w:ascii="Arial" w:hAnsi="Arial" w:cs="Arial"/>
          <w:sz w:val="24"/>
          <w:szCs w:val="24"/>
        </w:rPr>
        <w:t xml:space="preserve"> rate, both in </w:t>
      </w:r>
      <w:r w:rsidR="00F05C73" w:rsidRPr="00604C6D">
        <w:rPr>
          <w:rFonts w:ascii="Arial" w:hAnsi="Arial" w:cs="Arial"/>
          <w:sz w:val="24"/>
          <w:szCs w:val="24"/>
        </w:rPr>
        <w:t>Western Australia</w:t>
      </w:r>
      <w:r w:rsidR="00F324BA">
        <w:rPr>
          <w:rFonts w:ascii="Arial" w:hAnsi="Arial" w:cs="Arial"/>
          <w:sz w:val="24"/>
          <w:szCs w:val="24"/>
        </w:rPr>
        <w:t xml:space="preserve"> and </w:t>
      </w:r>
      <w:r w:rsidRPr="00604C6D">
        <w:rPr>
          <w:rFonts w:ascii="Arial" w:hAnsi="Arial" w:cs="Arial"/>
          <w:sz w:val="24"/>
          <w:szCs w:val="24"/>
        </w:rPr>
        <w:t>nationally</w:t>
      </w:r>
      <w:r w:rsidR="00F324BA">
        <w:rPr>
          <w:rFonts w:ascii="Arial" w:hAnsi="Arial" w:cs="Arial"/>
          <w:sz w:val="24"/>
          <w:szCs w:val="24"/>
        </w:rPr>
        <w:t xml:space="preserve">. </w:t>
      </w:r>
      <w:r w:rsidRPr="00604C6D">
        <w:rPr>
          <w:rFonts w:ascii="Arial" w:hAnsi="Arial" w:cs="Arial"/>
          <w:sz w:val="24"/>
          <w:szCs w:val="24"/>
        </w:rPr>
        <w:t xml:space="preserve"> </w:t>
      </w:r>
    </w:p>
    <w:p w:rsidR="001F726F" w:rsidRPr="0060351D" w:rsidRDefault="001F726F" w:rsidP="001F726F">
      <w:pPr>
        <w:pStyle w:val="ListParagraph"/>
        <w:numPr>
          <w:ilvl w:val="0"/>
          <w:numId w:val="25"/>
        </w:numPr>
        <w:spacing w:after="240" w:line="240" w:lineRule="auto"/>
        <w:ind w:left="567" w:hanging="567"/>
        <w:contextualSpacing w:val="0"/>
        <w:jc w:val="both"/>
        <w:rPr>
          <w:rFonts w:ascii="Arial" w:hAnsi="Arial" w:cs="Arial"/>
          <w:sz w:val="24"/>
          <w:szCs w:val="24"/>
        </w:rPr>
      </w:pPr>
      <w:r>
        <w:rPr>
          <w:rFonts w:ascii="Arial" w:hAnsi="Arial" w:cs="Arial"/>
          <w:sz w:val="24"/>
          <w:szCs w:val="24"/>
        </w:rPr>
        <w:t>T</w:t>
      </w:r>
      <w:r w:rsidRPr="0060351D">
        <w:rPr>
          <w:rFonts w:ascii="Arial" w:hAnsi="Arial" w:cs="Arial"/>
          <w:sz w:val="24"/>
          <w:szCs w:val="24"/>
        </w:rPr>
        <w:t xml:space="preserve">he participation rate </w:t>
      </w:r>
      <w:r>
        <w:rPr>
          <w:rFonts w:ascii="Arial" w:hAnsi="Arial" w:cs="Arial"/>
          <w:sz w:val="24"/>
          <w:szCs w:val="24"/>
        </w:rPr>
        <w:t>in Western Australia averaged 6</w:t>
      </w:r>
      <w:r w:rsidR="002E1472">
        <w:rPr>
          <w:rFonts w:ascii="Arial" w:hAnsi="Arial" w:cs="Arial"/>
          <w:sz w:val="24"/>
          <w:szCs w:val="24"/>
        </w:rPr>
        <w:t>8</w:t>
      </w:r>
      <w:r>
        <w:rPr>
          <w:rFonts w:ascii="Arial" w:hAnsi="Arial" w:cs="Arial"/>
          <w:sz w:val="24"/>
          <w:szCs w:val="24"/>
        </w:rPr>
        <w:t>.</w:t>
      </w:r>
      <w:r w:rsidR="002E1472">
        <w:rPr>
          <w:rFonts w:ascii="Arial" w:hAnsi="Arial" w:cs="Arial"/>
          <w:sz w:val="24"/>
          <w:szCs w:val="24"/>
        </w:rPr>
        <w:t>5</w:t>
      </w:r>
      <w:r>
        <w:rPr>
          <w:rFonts w:ascii="Arial" w:hAnsi="Arial" w:cs="Arial"/>
          <w:sz w:val="24"/>
          <w:szCs w:val="24"/>
        </w:rPr>
        <w:t xml:space="preserve"> per cent over the year to </w:t>
      </w:r>
      <w:r w:rsidR="0051332F">
        <w:rPr>
          <w:rFonts w:ascii="Arial" w:hAnsi="Arial" w:cs="Arial"/>
          <w:sz w:val="24"/>
          <w:szCs w:val="24"/>
        </w:rPr>
        <w:t xml:space="preserve">January </w:t>
      </w:r>
      <w:r>
        <w:rPr>
          <w:rFonts w:ascii="Arial" w:hAnsi="Arial" w:cs="Arial"/>
          <w:sz w:val="24"/>
          <w:szCs w:val="24"/>
        </w:rPr>
        <w:t>201</w:t>
      </w:r>
      <w:r w:rsidR="0051332F">
        <w:rPr>
          <w:rFonts w:ascii="Arial" w:hAnsi="Arial" w:cs="Arial"/>
          <w:sz w:val="24"/>
          <w:szCs w:val="24"/>
        </w:rPr>
        <w:t>9</w:t>
      </w:r>
      <w:r>
        <w:rPr>
          <w:rFonts w:ascii="Arial" w:hAnsi="Arial" w:cs="Arial"/>
          <w:sz w:val="24"/>
          <w:szCs w:val="24"/>
        </w:rPr>
        <w:t>, up from an average of 67.</w:t>
      </w:r>
      <w:r w:rsidR="002E1472">
        <w:rPr>
          <w:rFonts w:ascii="Arial" w:hAnsi="Arial" w:cs="Arial"/>
          <w:sz w:val="24"/>
          <w:szCs w:val="24"/>
        </w:rPr>
        <w:t>8</w:t>
      </w:r>
      <w:r>
        <w:rPr>
          <w:rFonts w:ascii="Arial" w:hAnsi="Arial" w:cs="Arial"/>
          <w:sz w:val="24"/>
          <w:szCs w:val="24"/>
        </w:rPr>
        <w:t xml:space="preserve"> per cent in the year to </w:t>
      </w:r>
      <w:r w:rsidR="0051332F">
        <w:rPr>
          <w:rFonts w:ascii="Arial" w:hAnsi="Arial" w:cs="Arial"/>
          <w:sz w:val="24"/>
          <w:szCs w:val="24"/>
        </w:rPr>
        <w:t xml:space="preserve">January </w:t>
      </w:r>
      <w:r>
        <w:rPr>
          <w:rFonts w:ascii="Arial" w:hAnsi="Arial" w:cs="Arial"/>
          <w:sz w:val="24"/>
          <w:szCs w:val="24"/>
        </w:rPr>
        <w:t>201</w:t>
      </w:r>
      <w:r w:rsidR="0051332F">
        <w:rPr>
          <w:rFonts w:ascii="Arial" w:hAnsi="Arial" w:cs="Arial"/>
          <w:sz w:val="24"/>
          <w:szCs w:val="24"/>
        </w:rPr>
        <w:t>8</w:t>
      </w:r>
      <w:r>
        <w:rPr>
          <w:rFonts w:ascii="Arial" w:hAnsi="Arial" w:cs="Arial"/>
          <w:sz w:val="24"/>
          <w:szCs w:val="24"/>
        </w:rPr>
        <w:t xml:space="preserve">. </w:t>
      </w:r>
      <w:r w:rsidRPr="0060351D">
        <w:rPr>
          <w:rFonts w:ascii="Arial" w:hAnsi="Arial" w:cs="Arial"/>
          <w:sz w:val="24"/>
          <w:szCs w:val="24"/>
        </w:rPr>
        <w:t>Australia</w:t>
      </w:r>
      <w:r w:rsidR="00604C6D">
        <w:rPr>
          <w:rFonts w:ascii="Arial" w:hAnsi="Arial" w:cs="Arial"/>
          <w:sz w:val="24"/>
          <w:szCs w:val="24"/>
        </w:rPr>
        <w:t>-wide</w:t>
      </w:r>
      <w:r w:rsidRPr="0060351D">
        <w:rPr>
          <w:rFonts w:ascii="Arial" w:hAnsi="Arial" w:cs="Arial"/>
          <w:sz w:val="24"/>
          <w:szCs w:val="24"/>
        </w:rPr>
        <w:t xml:space="preserve">, the participation rate </w:t>
      </w:r>
      <w:r>
        <w:rPr>
          <w:rFonts w:ascii="Arial" w:hAnsi="Arial" w:cs="Arial"/>
          <w:sz w:val="24"/>
          <w:szCs w:val="24"/>
        </w:rPr>
        <w:t>averaged 65.</w:t>
      </w:r>
      <w:r w:rsidR="002E1472">
        <w:rPr>
          <w:rFonts w:ascii="Arial" w:hAnsi="Arial" w:cs="Arial"/>
          <w:sz w:val="24"/>
          <w:szCs w:val="24"/>
        </w:rPr>
        <w:t>6</w:t>
      </w:r>
      <w:r>
        <w:rPr>
          <w:rFonts w:ascii="Arial" w:hAnsi="Arial" w:cs="Arial"/>
          <w:sz w:val="24"/>
          <w:szCs w:val="24"/>
        </w:rPr>
        <w:t xml:space="preserve"> per cent in the year to </w:t>
      </w:r>
      <w:r w:rsidR="0051332F">
        <w:rPr>
          <w:rFonts w:ascii="Arial" w:hAnsi="Arial" w:cs="Arial"/>
          <w:sz w:val="24"/>
          <w:szCs w:val="24"/>
        </w:rPr>
        <w:t>January</w:t>
      </w:r>
      <w:r w:rsidR="006832C4">
        <w:rPr>
          <w:rFonts w:ascii="Arial" w:hAnsi="Arial" w:cs="Arial"/>
          <w:sz w:val="24"/>
          <w:szCs w:val="24"/>
        </w:rPr>
        <w:t> </w:t>
      </w:r>
      <w:r>
        <w:rPr>
          <w:rFonts w:ascii="Arial" w:hAnsi="Arial" w:cs="Arial"/>
          <w:sz w:val="24"/>
          <w:szCs w:val="24"/>
        </w:rPr>
        <w:t>201</w:t>
      </w:r>
      <w:r w:rsidR="0051332F">
        <w:rPr>
          <w:rFonts w:ascii="Arial" w:hAnsi="Arial" w:cs="Arial"/>
          <w:sz w:val="24"/>
          <w:szCs w:val="24"/>
        </w:rPr>
        <w:t>9</w:t>
      </w:r>
      <w:r>
        <w:rPr>
          <w:rFonts w:ascii="Arial" w:hAnsi="Arial" w:cs="Arial"/>
          <w:sz w:val="24"/>
          <w:szCs w:val="24"/>
        </w:rPr>
        <w:t xml:space="preserve">, </w:t>
      </w:r>
      <w:r w:rsidR="0051332F">
        <w:rPr>
          <w:rFonts w:ascii="Arial" w:hAnsi="Arial" w:cs="Arial"/>
          <w:sz w:val="24"/>
          <w:szCs w:val="24"/>
        </w:rPr>
        <w:t xml:space="preserve">up from </w:t>
      </w:r>
      <w:r>
        <w:rPr>
          <w:rFonts w:ascii="Arial" w:hAnsi="Arial" w:cs="Arial"/>
          <w:sz w:val="24"/>
          <w:szCs w:val="24"/>
        </w:rPr>
        <w:t xml:space="preserve">an average of </w:t>
      </w:r>
      <w:r w:rsidRPr="0060351D">
        <w:rPr>
          <w:rFonts w:ascii="Arial" w:hAnsi="Arial" w:cs="Arial"/>
          <w:sz w:val="24"/>
          <w:szCs w:val="24"/>
        </w:rPr>
        <w:t>6</w:t>
      </w:r>
      <w:r w:rsidR="002E1472">
        <w:rPr>
          <w:rFonts w:ascii="Arial" w:hAnsi="Arial" w:cs="Arial"/>
          <w:sz w:val="24"/>
          <w:szCs w:val="24"/>
        </w:rPr>
        <w:t>5</w:t>
      </w:r>
      <w:r w:rsidRPr="0060351D">
        <w:rPr>
          <w:rFonts w:ascii="Arial" w:hAnsi="Arial" w:cs="Arial"/>
          <w:sz w:val="24"/>
          <w:szCs w:val="24"/>
        </w:rPr>
        <w:t>.</w:t>
      </w:r>
      <w:r w:rsidR="0051332F">
        <w:rPr>
          <w:rFonts w:ascii="Arial" w:hAnsi="Arial" w:cs="Arial"/>
          <w:sz w:val="24"/>
          <w:szCs w:val="24"/>
        </w:rPr>
        <w:t>2</w:t>
      </w:r>
      <w:r w:rsidRPr="0060351D">
        <w:rPr>
          <w:rFonts w:ascii="Arial" w:hAnsi="Arial" w:cs="Arial"/>
          <w:sz w:val="24"/>
          <w:szCs w:val="24"/>
        </w:rPr>
        <w:t xml:space="preserve"> per cent </w:t>
      </w:r>
      <w:r>
        <w:rPr>
          <w:rFonts w:ascii="Arial" w:hAnsi="Arial" w:cs="Arial"/>
          <w:sz w:val="24"/>
          <w:szCs w:val="24"/>
        </w:rPr>
        <w:t xml:space="preserve">in the year to </w:t>
      </w:r>
      <w:r w:rsidR="0051332F">
        <w:rPr>
          <w:rFonts w:ascii="Arial" w:hAnsi="Arial" w:cs="Arial"/>
          <w:sz w:val="24"/>
          <w:szCs w:val="24"/>
        </w:rPr>
        <w:t xml:space="preserve">January </w:t>
      </w:r>
      <w:r>
        <w:rPr>
          <w:rFonts w:ascii="Arial" w:hAnsi="Arial" w:cs="Arial"/>
          <w:sz w:val="24"/>
          <w:szCs w:val="24"/>
        </w:rPr>
        <w:t>201</w:t>
      </w:r>
      <w:r w:rsidR="0051332F">
        <w:rPr>
          <w:rFonts w:ascii="Arial" w:hAnsi="Arial" w:cs="Arial"/>
          <w:sz w:val="24"/>
          <w:szCs w:val="24"/>
        </w:rPr>
        <w:t>8</w:t>
      </w:r>
      <w:r>
        <w:rPr>
          <w:rFonts w:ascii="Arial" w:hAnsi="Arial" w:cs="Arial"/>
          <w:sz w:val="24"/>
          <w:szCs w:val="24"/>
        </w:rPr>
        <w:t>.</w:t>
      </w:r>
      <w:r>
        <w:rPr>
          <w:rStyle w:val="FootnoteReference"/>
          <w:rFonts w:ascii="Arial" w:hAnsi="Arial" w:cs="Arial"/>
          <w:sz w:val="24"/>
          <w:szCs w:val="24"/>
        </w:rPr>
        <w:footnoteReference w:id="27"/>
      </w:r>
      <w:r w:rsidRPr="0060351D">
        <w:rPr>
          <w:rFonts w:ascii="Arial" w:hAnsi="Arial" w:cs="Arial"/>
          <w:sz w:val="24"/>
          <w:szCs w:val="24"/>
        </w:rPr>
        <w:t xml:space="preserve"> </w:t>
      </w:r>
    </w:p>
    <w:p w:rsidR="001F726F" w:rsidRPr="00371130" w:rsidRDefault="001F726F" w:rsidP="00817A98">
      <w:pPr>
        <w:pStyle w:val="ListParagraph"/>
        <w:numPr>
          <w:ilvl w:val="0"/>
          <w:numId w:val="25"/>
        </w:numPr>
        <w:spacing w:after="240" w:line="240" w:lineRule="auto"/>
        <w:ind w:left="567" w:hanging="567"/>
        <w:contextualSpacing w:val="0"/>
        <w:jc w:val="both"/>
        <w:rPr>
          <w:rFonts w:ascii="Arial" w:hAnsi="Arial" w:cs="Arial"/>
          <w:sz w:val="24"/>
          <w:szCs w:val="24"/>
        </w:rPr>
      </w:pPr>
      <w:r w:rsidRPr="00371130">
        <w:rPr>
          <w:rFonts w:ascii="Arial" w:hAnsi="Arial" w:cs="Arial"/>
          <w:sz w:val="24"/>
          <w:szCs w:val="24"/>
        </w:rPr>
        <w:t xml:space="preserve">While </w:t>
      </w:r>
      <w:r w:rsidR="00E61D50">
        <w:rPr>
          <w:rFonts w:ascii="Arial" w:hAnsi="Arial" w:cs="Arial"/>
          <w:sz w:val="24"/>
          <w:szCs w:val="24"/>
        </w:rPr>
        <w:t>the participation</w:t>
      </w:r>
      <w:r w:rsidR="00F05C73" w:rsidRPr="00371130">
        <w:rPr>
          <w:rFonts w:ascii="Arial" w:hAnsi="Arial" w:cs="Arial"/>
          <w:sz w:val="24"/>
          <w:szCs w:val="24"/>
        </w:rPr>
        <w:t xml:space="preserve"> rate i</w:t>
      </w:r>
      <w:r w:rsidRPr="00371130">
        <w:rPr>
          <w:rFonts w:ascii="Arial" w:hAnsi="Arial" w:cs="Arial"/>
          <w:sz w:val="24"/>
          <w:szCs w:val="24"/>
        </w:rPr>
        <w:t xml:space="preserve">s influenced by a variety of </w:t>
      </w:r>
      <w:r w:rsidR="00632600" w:rsidRPr="00371130">
        <w:rPr>
          <w:rFonts w:ascii="Arial" w:hAnsi="Arial" w:cs="Arial"/>
          <w:sz w:val="24"/>
          <w:szCs w:val="24"/>
        </w:rPr>
        <w:t xml:space="preserve">factors, </w:t>
      </w:r>
      <w:r w:rsidRPr="00371130">
        <w:rPr>
          <w:rFonts w:ascii="Arial" w:hAnsi="Arial" w:cs="Arial"/>
          <w:sz w:val="24"/>
          <w:szCs w:val="24"/>
        </w:rPr>
        <w:t xml:space="preserve">fair and </w:t>
      </w:r>
      <w:r w:rsidR="00632600" w:rsidRPr="00371130">
        <w:rPr>
          <w:rFonts w:ascii="Arial" w:hAnsi="Arial" w:cs="Arial"/>
          <w:sz w:val="24"/>
          <w:szCs w:val="24"/>
        </w:rPr>
        <w:t xml:space="preserve">equitable </w:t>
      </w:r>
      <w:r w:rsidRPr="00371130">
        <w:rPr>
          <w:rFonts w:ascii="Arial" w:hAnsi="Arial" w:cs="Arial"/>
          <w:sz w:val="24"/>
          <w:szCs w:val="24"/>
        </w:rPr>
        <w:t xml:space="preserve">increases to minimum and award wages </w:t>
      </w:r>
      <w:r w:rsidR="00632600" w:rsidRPr="00371130">
        <w:rPr>
          <w:rFonts w:ascii="Arial" w:hAnsi="Arial" w:cs="Arial"/>
          <w:sz w:val="24"/>
          <w:szCs w:val="24"/>
        </w:rPr>
        <w:t xml:space="preserve">can </w:t>
      </w:r>
      <w:r w:rsidRPr="00371130">
        <w:rPr>
          <w:rFonts w:ascii="Arial" w:hAnsi="Arial" w:cs="Arial"/>
          <w:sz w:val="24"/>
          <w:szCs w:val="24"/>
        </w:rPr>
        <w:t xml:space="preserve">help to encourage people into the labour force, particularly those with a marginal attachment to </w:t>
      </w:r>
      <w:r w:rsidR="00F05C73" w:rsidRPr="00371130">
        <w:rPr>
          <w:rFonts w:ascii="Arial" w:hAnsi="Arial" w:cs="Arial"/>
          <w:sz w:val="24"/>
          <w:szCs w:val="24"/>
        </w:rPr>
        <w:t xml:space="preserve">it. </w:t>
      </w:r>
      <w:r w:rsidR="00371130">
        <w:rPr>
          <w:rFonts w:ascii="Arial" w:hAnsi="Arial" w:cs="Arial"/>
          <w:sz w:val="24"/>
          <w:szCs w:val="24"/>
        </w:rPr>
        <w:t>For instance, p</w:t>
      </w:r>
      <w:r w:rsidR="00371130" w:rsidRPr="00371130">
        <w:rPr>
          <w:rFonts w:ascii="Arial" w:hAnsi="Arial" w:cs="Arial"/>
          <w:sz w:val="24"/>
          <w:szCs w:val="24"/>
        </w:rPr>
        <w:t xml:space="preserve">aid employment can become relatively more attractive </w:t>
      </w:r>
      <w:r w:rsidR="00371130">
        <w:rPr>
          <w:rFonts w:ascii="Arial" w:hAnsi="Arial" w:cs="Arial"/>
          <w:sz w:val="24"/>
          <w:szCs w:val="24"/>
        </w:rPr>
        <w:t xml:space="preserve">for some individuals </w:t>
      </w:r>
      <w:r w:rsidR="00120F91">
        <w:rPr>
          <w:rFonts w:ascii="Arial" w:hAnsi="Arial" w:cs="Arial"/>
          <w:sz w:val="24"/>
          <w:szCs w:val="24"/>
        </w:rPr>
        <w:t xml:space="preserve">if </w:t>
      </w:r>
      <w:r w:rsidR="00371130" w:rsidRPr="00371130">
        <w:rPr>
          <w:rFonts w:ascii="Arial" w:hAnsi="Arial" w:cs="Arial"/>
          <w:sz w:val="24"/>
          <w:szCs w:val="24"/>
        </w:rPr>
        <w:t xml:space="preserve">minimum and award wages </w:t>
      </w:r>
      <w:r w:rsidR="00120F91">
        <w:rPr>
          <w:rFonts w:ascii="Arial" w:hAnsi="Arial" w:cs="Arial"/>
          <w:sz w:val="24"/>
          <w:szCs w:val="24"/>
        </w:rPr>
        <w:t xml:space="preserve">are rising by more than Commonwealth income support payments. </w:t>
      </w:r>
      <w:r w:rsidR="00371130" w:rsidRPr="00371130">
        <w:rPr>
          <w:rFonts w:ascii="Helvetica" w:hAnsi="Helvetica"/>
          <w:color w:val="222222"/>
          <w:sz w:val="23"/>
          <w:szCs w:val="23"/>
          <w:shd w:val="clear" w:color="auto" w:fill="FFFFFF"/>
        </w:rPr>
        <w:t xml:space="preserve"> </w:t>
      </w:r>
    </w:p>
    <w:p w:rsidR="001F726F" w:rsidRPr="00B365A7" w:rsidRDefault="00120F91" w:rsidP="00817A98">
      <w:pPr>
        <w:pStyle w:val="ListParagraph"/>
        <w:numPr>
          <w:ilvl w:val="0"/>
          <w:numId w:val="25"/>
        </w:numPr>
        <w:spacing w:after="240" w:line="240" w:lineRule="auto"/>
        <w:ind w:left="567" w:hanging="567"/>
        <w:contextualSpacing w:val="0"/>
        <w:jc w:val="both"/>
        <w:rPr>
          <w:rFonts w:ascii="Arial" w:hAnsi="Arial" w:cs="Arial"/>
          <w:sz w:val="24"/>
          <w:szCs w:val="24"/>
        </w:rPr>
      </w:pPr>
      <w:r w:rsidRPr="00120F91">
        <w:rPr>
          <w:rFonts w:ascii="Arial" w:hAnsi="Arial" w:cs="Arial"/>
          <w:sz w:val="24"/>
          <w:szCs w:val="24"/>
        </w:rPr>
        <w:t>T</w:t>
      </w:r>
      <w:r w:rsidR="002E1472" w:rsidRPr="00120F91">
        <w:rPr>
          <w:rFonts w:ascii="Arial" w:hAnsi="Arial" w:cs="Arial"/>
          <w:sz w:val="24"/>
          <w:szCs w:val="24"/>
        </w:rPr>
        <w:t xml:space="preserve">otal </w:t>
      </w:r>
      <w:r w:rsidR="001F726F" w:rsidRPr="00120F91">
        <w:rPr>
          <w:rFonts w:ascii="Arial" w:hAnsi="Arial" w:cs="Arial"/>
          <w:sz w:val="24"/>
          <w:szCs w:val="24"/>
        </w:rPr>
        <w:t xml:space="preserve">employment </w:t>
      </w:r>
      <w:r w:rsidRPr="00120F91">
        <w:rPr>
          <w:rFonts w:ascii="Arial" w:hAnsi="Arial" w:cs="Arial"/>
          <w:sz w:val="24"/>
          <w:szCs w:val="24"/>
        </w:rPr>
        <w:t xml:space="preserve">has </w:t>
      </w:r>
      <w:r w:rsidR="002E1472" w:rsidRPr="00120F91">
        <w:rPr>
          <w:rFonts w:ascii="Arial" w:hAnsi="Arial" w:cs="Arial"/>
          <w:sz w:val="24"/>
          <w:szCs w:val="24"/>
        </w:rPr>
        <w:t xml:space="preserve">continued to </w:t>
      </w:r>
      <w:r w:rsidR="001F726F" w:rsidRPr="00120F91">
        <w:rPr>
          <w:rFonts w:ascii="Arial" w:hAnsi="Arial" w:cs="Arial"/>
          <w:sz w:val="24"/>
          <w:szCs w:val="24"/>
        </w:rPr>
        <w:t xml:space="preserve">grow </w:t>
      </w:r>
      <w:r w:rsidR="000440D0">
        <w:rPr>
          <w:rFonts w:ascii="Arial" w:hAnsi="Arial" w:cs="Arial"/>
          <w:sz w:val="24"/>
          <w:szCs w:val="24"/>
        </w:rPr>
        <w:t>steadily</w:t>
      </w:r>
      <w:r w:rsidR="0051332F">
        <w:rPr>
          <w:rFonts w:ascii="Arial" w:hAnsi="Arial" w:cs="Arial"/>
          <w:sz w:val="24"/>
          <w:szCs w:val="24"/>
        </w:rPr>
        <w:t xml:space="preserve"> </w:t>
      </w:r>
      <w:r w:rsidR="002E1472" w:rsidRPr="00120F91">
        <w:rPr>
          <w:rFonts w:ascii="Arial" w:hAnsi="Arial" w:cs="Arial"/>
          <w:sz w:val="24"/>
          <w:szCs w:val="24"/>
        </w:rPr>
        <w:t xml:space="preserve">over the </w:t>
      </w:r>
      <w:r w:rsidR="0051332F">
        <w:rPr>
          <w:rFonts w:ascii="Arial" w:hAnsi="Arial" w:cs="Arial"/>
          <w:sz w:val="24"/>
          <w:szCs w:val="24"/>
        </w:rPr>
        <w:t xml:space="preserve">past 12 months, </w:t>
      </w:r>
      <w:r w:rsidR="00640CE3">
        <w:rPr>
          <w:rFonts w:ascii="Arial" w:hAnsi="Arial" w:cs="Arial"/>
          <w:sz w:val="24"/>
          <w:szCs w:val="24"/>
        </w:rPr>
        <w:t xml:space="preserve">following </w:t>
      </w:r>
      <w:r w:rsidRPr="00120F91">
        <w:rPr>
          <w:rFonts w:ascii="Arial" w:hAnsi="Arial" w:cs="Arial"/>
          <w:sz w:val="24"/>
          <w:szCs w:val="24"/>
        </w:rPr>
        <w:t xml:space="preserve">the Panel’s decision to award a relatively robust wage increase of 3.5 per cent in last year’s AWR. </w:t>
      </w:r>
      <w:r w:rsidR="001F726F" w:rsidRPr="00120F91">
        <w:rPr>
          <w:rFonts w:ascii="Arial" w:hAnsi="Arial" w:cs="Arial"/>
          <w:sz w:val="24"/>
          <w:szCs w:val="24"/>
        </w:rPr>
        <w:t xml:space="preserve">As outlined earlier in this submission, total employment increased by </w:t>
      </w:r>
      <w:r w:rsidR="002E1472" w:rsidRPr="00120F91">
        <w:rPr>
          <w:rFonts w:ascii="Arial" w:hAnsi="Arial" w:cs="Arial"/>
          <w:sz w:val="24"/>
          <w:szCs w:val="24"/>
        </w:rPr>
        <w:t xml:space="preserve">an annual average </w:t>
      </w:r>
      <w:r w:rsidR="002E1472" w:rsidRPr="000440D0">
        <w:rPr>
          <w:rFonts w:ascii="Arial" w:hAnsi="Arial" w:cs="Arial"/>
          <w:sz w:val="24"/>
          <w:szCs w:val="24"/>
        </w:rPr>
        <w:t>rate of 2</w:t>
      </w:r>
      <w:r w:rsidR="001F726F" w:rsidRPr="000440D0">
        <w:rPr>
          <w:rFonts w:ascii="Arial" w:hAnsi="Arial" w:cs="Arial"/>
          <w:sz w:val="24"/>
          <w:szCs w:val="24"/>
        </w:rPr>
        <w:t>.</w:t>
      </w:r>
      <w:r w:rsidR="000440D0" w:rsidRPr="000440D0">
        <w:rPr>
          <w:rFonts w:ascii="Arial" w:hAnsi="Arial" w:cs="Arial"/>
          <w:sz w:val="24"/>
          <w:szCs w:val="24"/>
        </w:rPr>
        <w:t>6</w:t>
      </w:r>
      <w:r w:rsidR="001F726F" w:rsidRPr="000440D0">
        <w:rPr>
          <w:rFonts w:ascii="Arial" w:hAnsi="Arial" w:cs="Arial"/>
          <w:sz w:val="24"/>
          <w:szCs w:val="24"/>
        </w:rPr>
        <w:t xml:space="preserve"> per cent</w:t>
      </w:r>
      <w:r w:rsidR="001F726F" w:rsidRPr="00120F91">
        <w:rPr>
          <w:rFonts w:ascii="Arial" w:hAnsi="Arial" w:cs="Arial"/>
          <w:sz w:val="24"/>
          <w:szCs w:val="24"/>
        </w:rPr>
        <w:t xml:space="preserve"> across Australia in the 12 months to </w:t>
      </w:r>
      <w:r w:rsidR="000440D0" w:rsidRPr="00B365A7">
        <w:rPr>
          <w:rFonts w:ascii="Arial" w:hAnsi="Arial" w:cs="Arial"/>
          <w:sz w:val="24"/>
          <w:szCs w:val="24"/>
        </w:rPr>
        <w:t xml:space="preserve">January </w:t>
      </w:r>
      <w:r w:rsidR="001F726F" w:rsidRPr="00B365A7">
        <w:rPr>
          <w:rFonts w:ascii="Arial" w:hAnsi="Arial" w:cs="Arial"/>
          <w:sz w:val="24"/>
          <w:szCs w:val="24"/>
        </w:rPr>
        <w:t>201</w:t>
      </w:r>
      <w:r w:rsidR="000440D0" w:rsidRPr="00B365A7">
        <w:rPr>
          <w:rFonts w:ascii="Arial" w:hAnsi="Arial" w:cs="Arial"/>
          <w:sz w:val="24"/>
          <w:szCs w:val="24"/>
        </w:rPr>
        <w:t>9</w:t>
      </w:r>
      <w:r w:rsidR="002E1472" w:rsidRPr="00B365A7">
        <w:rPr>
          <w:rFonts w:ascii="Arial" w:hAnsi="Arial" w:cs="Arial"/>
          <w:sz w:val="24"/>
          <w:szCs w:val="24"/>
        </w:rPr>
        <w:t>, while</w:t>
      </w:r>
      <w:r w:rsidR="00351DB2" w:rsidRPr="00B365A7">
        <w:rPr>
          <w:rFonts w:ascii="Arial" w:hAnsi="Arial" w:cs="Arial"/>
          <w:sz w:val="24"/>
          <w:szCs w:val="24"/>
        </w:rPr>
        <w:t xml:space="preserve"> </w:t>
      </w:r>
      <w:r w:rsidR="00F324BA" w:rsidRPr="00B365A7">
        <w:rPr>
          <w:rFonts w:ascii="Arial" w:hAnsi="Arial" w:cs="Arial"/>
          <w:sz w:val="24"/>
          <w:szCs w:val="24"/>
        </w:rPr>
        <w:t>the national unemployment rate fell to 5.0 per cent.</w:t>
      </w:r>
      <w:r w:rsidR="00B365A7">
        <w:rPr>
          <w:rStyle w:val="FootnoteReference"/>
          <w:rFonts w:ascii="Arial" w:hAnsi="Arial" w:cs="Arial"/>
          <w:sz w:val="24"/>
          <w:szCs w:val="24"/>
        </w:rPr>
        <w:footnoteReference w:id="28"/>
      </w:r>
      <w:r w:rsidR="00F324BA" w:rsidRPr="00B365A7">
        <w:rPr>
          <w:rFonts w:ascii="Arial" w:hAnsi="Arial" w:cs="Arial"/>
          <w:sz w:val="24"/>
          <w:szCs w:val="24"/>
        </w:rPr>
        <w:t xml:space="preserve"> Such figures should </w:t>
      </w:r>
      <w:r w:rsidRPr="00B365A7">
        <w:rPr>
          <w:rFonts w:ascii="Arial" w:hAnsi="Arial" w:cs="Arial"/>
          <w:sz w:val="24"/>
          <w:szCs w:val="24"/>
        </w:rPr>
        <w:t xml:space="preserve">give </w:t>
      </w:r>
      <w:r w:rsidR="001F726F" w:rsidRPr="00B365A7">
        <w:rPr>
          <w:rFonts w:ascii="Arial" w:hAnsi="Arial" w:cs="Arial"/>
          <w:sz w:val="24"/>
          <w:szCs w:val="24"/>
        </w:rPr>
        <w:t xml:space="preserve">the Panel confidence that fair and </w:t>
      </w:r>
      <w:r w:rsidR="00F324BA" w:rsidRPr="00B365A7">
        <w:rPr>
          <w:rFonts w:ascii="Arial" w:hAnsi="Arial" w:cs="Arial"/>
          <w:sz w:val="24"/>
          <w:szCs w:val="24"/>
        </w:rPr>
        <w:t>equitable</w:t>
      </w:r>
      <w:r w:rsidR="001F726F" w:rsidRPr="00B365A7">
        <w:rPr>
          <w:rFonts w:ascii="Arial" w:hAnsi="Arial" w:cs="Arial"/>
          <w:sz w:val="24"/>
          <w:szCs w:val="24"/>
        </w:rPr>
        <w:t xml:space="preserve"> pay increases can play a role in positively promoting social inclusion</w:t>
      </w:r>
      <w:r w:rsidR="00F324BA" w:rsidRPr="00B365A7">
        <w:rPr>
          <w:rFonts w:ascii="Arial" w:hAnsi="Arial" w:cs="Arial"/>
          <w:sz w:val="24"/>
          <w:szCs w:val="24"/>
        </w:rPr>
        <w:t xml:space="preserve"> without </w:t>
      </w:r>
      <w:r w:rsidR="00640CE3" w:rsidRPr="00B365A7">
        <w:rPr>
          <w:rFonts w:ascii="Arial" w:hAnsi="Arial" w:cs="Arial"/>
          <w:sz w:val="24"/>
          <w:szCs w:val="24"/>
        </w:rPr>
        <w:t>jeopardising</w:t>
      </w:r>
      <w:r w:rsidR="00F324BA" w:rsidRPr="00B365A7">
        <w:rPr>
          <w:rFonts w:ascii="Arial" w:hAnsi="Arial" w:cs="Arial"/>
          <w:sz w:val="24"/>
          <w:szCs w:val="24"/>
        </w:rPr>
        <w:t xml:space="preserve"> </w:t>
      </w:r>
      <w:r w:rsidR="00B365A7" w:rsidRPr="00B365A7">
        <w:rPr>
          <w:rFonts w:ascii="Arial" w:hAnsi="Arial" w:cs="Arial"/>
          <w:sz w:val="24"/>
          <w:szCs w:val="24"/>
        </w:rPr>
        <w:t xml:space="preserve">employment outcomes. </w:t>
      </w:r>
    </w:p>
    <w:p w:rsidR="001F726F" w:rsidRPr="0060351D" w:rsidRDefault="001F726F" w:rsidP="001F726F">
      <w:pPr>
        <w:tabs>
          <w:tab w:val="num" w:pos="600"/>
        </w:tabs>
        <w:spacing w:after="240" w:line="240" w:lineRule="auto"/>
        <w:jc w:val="both"/>
        <w:rPr>
          <w:rFonts w:ascii="Arial" w:eastAsia="Times New Roman" w:hAnsi="Arial" w:cs="Arial"/>
          <w:b/>
          <w:color w:val="C00000"/>
          <w:sz w:val="24"/>
          <w:szCs w:val="24"/>
          <w:lang w:val="en-US"/>
        </w:rPr>
      </w:pPr>
      <w:r>
        <w:rPr>
          <w:rFonts w:ascii="Arial" w:hAnsi="Arial" w:cs="Arial"/>
          <w:b/>
          <w:color w:val="C00000"/>
          <w:sz w:val="24"/>
          <w:szCs w:val="24"/>
        </w:rPr>
        <w:t>Equal remuneration and the gender pay gap</w:t>
      </w:r>
    </w:p>
    <w:p w:rsidR="002F6576" w:rsidRPr="002F6576"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A</w:t>
      </w:r>
      <w:r w:rsidR="002F6576">
        <w:rPr>
          <w:rFonts w:ascii="Arial" w:eastAsia="Times New Roman" w:hAnsi="Arial" w:cs="Arial"/>
          <w:sz w:val="24"/>
          <w:szCs w:val="24"/>
          <w:lang w:val="en-US"/>
        </w:rPr>
        <w:t>n important</w:t>
      </w:r>
      <w:r>
        <w:rPr>
          <w:rFonts w:ascii="Arial" w:eastAsia="Times New Roman" w:hAnsi="Arial" w:cs="Arial"/>
          <w:sz w:val="24"/>
          <w:szCs w:val="24"/>
          <w:lang w:val="en-US"/>
        </w:rPr>
        <w:t xml:space="preserve"> consideration in </w:t>
      </w:r>
      <w:r w:rsidR="002F6576">
        <w:rPr>
          <w:rFonts w:ascii="Arial" w:eastAsia="Times New Roman" w:hAnsi="Arial" w:cs="Arial"/>
          <w:sz w:val="24"/>
          <w:szCs w:val="24"/>
          <w:lang w:val="en-US"/>
        </w:rPr>
        <w:t xml:space="preserve">both the modern awards objective and the minimum wages objective </w:t>
      </w:r>
      <w:r>
        <w:rPr>
          <w:rFonts w:ascii="Arial" w:eastAsia="Times New Roman" w:hAnsi="Arial" w:cs="Arial"/>
          <w:sz w:val="24"/>
          <w:szCs w:val="24"/>
        </w:rPr>
        <w:t xml:space="preserve">is the need to promote </w:t>
      </w:r>
      <w:r w:rsidR="002F6576">
        <w:rPr>
          <w:rFonts w:ascii="Arial" w:eastAsia="Times New Roman" w:hAnsi="Arial" w:cs="Arial"/>
          <w:sz w:val="24"/>
          <w:szCs w:val="24"/>
        </w:rPr>
        <w:t xml:space="preserve">the principle of </w:t>
      </w:r>
      <w:r>
        <w:rPr>
          <w:rFonts w:ascii="Arial" w:eastAsia="Times New Roman" w:hAnsi="Arial" w:cs="Arial"/>
          <w:sz w:val="24"/>
          <w:szCs w:val="24"/>
        </w:rPr>
        <w:t xml:space="preserve">equal remuneration for </w:t>
      </w:r>
      <w:r w:rsidR="002F6576">
        <w:rPr>
          <w:rFonts w:ascii="Arial" w:eastAsia="Times New Roman" w:hAnsi="Arial" w:cs="Arial"/>
          <w:sz w:val="24"/>
          <w:szCs w:val="24"/>
        </w:rPr>
        <w:t xml:space="preserve">work of equal or comparable value. </w:t>
      </w:r>
    </w:p>
    <w:p w:rsidR="001F726F" w:rsidRPr="00C37BF7"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A</w:t>
      </w:r>
      <w:r w:rsidRPr="0060351D">
        <w:rPr>
          <w:rFonts w:ascii="Arial" w:eastAsia="Times New Roman" w:hAnsi="Arial" w:cs="Arial"/>
          <w:sz w:val="24"/>
          <w:szCs w:val="24"/>
          <w:lang w:val="en-US"/>
        </w:rPr>
        <w:t xml:space="preserve">s </w:t>
      </w:r>
      <w:r w:rsidRPr="00B365A7">
        <w:rPr>
          <w:rFonts w:ascii="Arial" w:eastAsia="Times New Roman" w:hAnsi="Arial" w:cs="Arial"/>
          <w:sz w:val="24"/>
          <w:szCs w:val="24"/>
          <w:lang w:val="en-US"/>
        </w:rPr>
        <w:t>noted by the FWC in the 201</w:t>
      </w:r>
      <w:r w:rsidR="00CA2CFB" w:rsidRPr="00B365A7">
        <w:rPr>
          <w:rFonts w:ascii="Arial" w:eastAsia="Times New Roman" w:hAnsi="Arial" w:cs="Arial"/>
          <w:sz w:val="24"/>
          <w:szCs w:val="24"/>
          <w:lang w:val="en-US"/>
        </w:rPr>
        <w:t>7</w:t>
      </w:r>
      <w:r w:rsidRPr="00B365A7">
        <w:rPr>
          <w:rFonts w:ascii="Arial" w:eastAsia="Times New Roman" w:hAnsi="Arial" w:cs="Arial"/>
          <w:sz w:val="24"/>
          <w:szCs w:val="24"/>
          <w:lang w:val="en-US"/>
        </w:rPr>
        <w:t>-1</w:t>
      </w:r>
      <w:r w:rsidR="00CA2CFB" w:rsidRPr="00B365A7">
        <w:rPr>
          <w:rFonts w:ascii="Arial" w:eastAsia="Times New Roman" w:hAnsi="Arial" w:cs="Arial"/>
          <w:sz w:val="24"/>
          <w:szCs w:val="24"/>
          <w:lang w:val="en-US"/>
        </w:rPr>
        <w:t>8</w:t>
      </w:r>
      <w:r w:rsidRPr="00B365A7">
        <w:rPr>
          <w:rFonts w:ascii="Arial" w:eastAsia="Times New Roman" w:hAnsi="Arial" w:cs="Arial"/>
          <w:sz w:val="24"/>
          <w:szCs w:val="24"/>
          <w:lang w:val="en-US"/>
        </w:rPr>
        <w:t xml:space="preserve"> AWR Decision</w:t>
      </w:r>
      <w:r w:rsidR="000F1E93">
        <w:rPr>
          <w:rFonts w:ascii="Arial" w:eastAsia="Times New Roman" w:hAnsi="Arial" w:cs="Arial"/>
          <w:sz w:val="24"/>
          <w:szCs w:val="24"/>
          <w:lang w:val="en-US"/>
        </w:rPr>
        <w:t>,</w:t>
      </w:r>
      <w:r w:rsidRPr="00B365A7">
        <w:rPr>
          <w:rFonts w:ascii="Arial" w:eastAsia="Times New Roman" w:hAnsi="Arial" w:cs="Arial"/>
          <w:sz w:val="24"/>
          <w:szCs w:val="24"/>
          <w:lang w:val="en-US"/>
        </w:rPr>
        <w:t xml:space="preserve"> the gender</w:t>
      </w:r>
      <w:r w:rsidRPr="0060351D">
        <w:rPr>
          <w:rFonts w:ascii="Arial" w:eastAsia="Times New Roman" w:hAnsi="Arial" w:cs="Arial"/>
          <w:sz w:val="24"/>
          <w:szCs w:val="24"/>
          <w:lang w:val="en-US"/>
        </w:rPr>
        <w:t xml:space="preserve"> pay gap is a relevant consideration as it is an element of the requirement to establish a safety net that is fair and relevant.</w:t>
      </w:r>
      <w:r>
        <w:rPr>
          <w:rStyle w:val="FootnoteReference"/>
          <w:rFonts w:ascii="Arial" w:eastAsia="Times New Roman" w:hAnsi="Arial" w:cs="Arial"/>
          <w:sz w:val="24"/>
          <w:szCs w:val="24"/>
          <w:lang w:val="en-US"/>
        </w:rPr>
        <w:footnoteReference w:id="29"/>
      </w:r>
      <w:r w:rsidRPr="0060351D">
        <w:rPr>
          <w:rFonts w:ascii="Arial" w:eastAsia="Times New Roman" w:hAnsi="Arial" w:cs="Arial"/>
          <w:sz w:val="24"/>
          <w:szCs w:val="24"/>
          <w:lang w:val="en-US"/>
        </w:rPr>
        <w:t xml:space="preserve"> </w:t>
      </w:r>
      <w:r>
        <w:rPr>
          <w:rFonts w:ascii="Arial" w:eastAsia="Times New Roman" w:hAnsi="Arial" w:cs="Arial"/>
          <w:sz w:val="24"/>
          <w:szCs w:val="24"/>
          <w:lang w:val="en-US"/>
        </w:rPr>
        <w:t xml:space="preserve"> </w:t>
      </w:r>
    </w:p>
    <w:p w:rsidR="00D121E5" w:rsidRDefault="00D121E5">
      <w:pPr>
        <w:rPr>
          <w:rFonts w:ascii="Arial" w:eastAsia="Times New Roman" w:hAnsi="Arial" w:cs="Arial"/>
          <w:sz w:val="24"/>
          <w:szCs w:val="24"/>
          <w:lang w:val="en-US"/>
        </w:rPr>
      </w:pPr>
      <w:r>
        <w:rPr>
          <w:rFonts w:ascii="Arial" w:eastAsia="Times New Roman" w:hAnsi="Arial" w:cs="Arial"/>
          <w:sz w:val="24"/>
          <w:szCs w:val="24"/>
          <w:lang w:val="en-US"/>
        </w:rPr>
        <w:br w:type="page"/>
      </w:r>
    </w:p>
    <w:p w:rsidR="001F726F" w:rsidRPr="00CA2CFB"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CA2CFB">
        <w:rPr>
          <w:rFonts w:ascii="Arial" w:eastAsia="Times New Roman" w:hAnsi="Arial" w:cs="Arial"/>
          <w:sz w:val="24"/>
          <w:szCs w:val="24"/>
          <w:lang w:val="en-US"/>
        </w:rPr>
        <w:lastRenderedPageBreak/>
        <w:t xml:space="preserve">The Western Australian Government concurs with the FWC’s observation that reducing the gender pay gap </w:t>
      </w:r>
      <w:r w:rsidR="00CA2CFB" w:rsidRPr="00CA2CFB">
        <w:rPr>
          <w:rFonts w:ascii="Arial" w:eastAsia="Times New Roman" w:hAnsi="Arial" w:cs="Arial"/>
          <w:sz w:val="24"/>
          <w:szCs w:val="24"/>
          <w:lang w:val="en-US"/>
        </w:rPr>
        <w:t xml:space="preserve">may also </w:t>
      </w:r>
      <w:r w:rsidR="00873DFA">
        <w:rPr>
          <w:rFonts w:ascii="Arial" w:eastAsia="Times New Roman" w:hAnsi="Arial" w:cs="Arial"/>
          <w:sz w:val="24"/>
          <w:szCs w:val="24"/>
          <w:lang w:val="en-US"/>
        </w:rPr>
        <w:t xml:space="preserve">be a relevant </w:t>
      </w:r>
      <w:r w:rsidR="00CA2CFB" w:rsidRPr="00CA2CFB">
        <w:rPr>
          <w:rFonts w:ascii="Arial" w:eastAsia="Times New Roman" w:hAnsi="Arial" w:cs="Arial"/>
          <w:sz w:val="24"/>
          <w:szCs w:val="24"/>
          <w:lang w:val="en-US"/>
        </w:rPr>
        <w:t>consideration in p</w:t>
      </w:r>
      <w:r w:rsidRPr="00CA2CFB">
        <w:rPr>
          <w:rFonts w:ascii="Arial" w:eastAsia="Times New Roman" w:hAnsi="Arial" w:cs="Arial"/>
          <w:sz w:val="24"/>
          <w:szCs w:val="24"/>
          <w:lang w:val="en-US"/>
        </w:rPr>
        <w:t xml:space="preserve">romoting social inclusion through workforce participation, </w:t>
      </w:r>
      <w:r w:rsidR="00CA2CFB" w:rsidRPr="00CA2CFB">
        <w:rPr>
          <w:rFonts w:ascii="Arial" w:eastAsia="Times New Roman" w:hAnsi="Arial" w:cs="Arial"/>
          <w:sz w:val="24"/>
          <w:szCs w:val="24"/>
          <w:lang w:val="en-US"/>
        </w:rPr>
        <w:t xml:space="preserve">as it may have effects on </w:t>
      </w:r>
      <w:r w:rsidRPr="00CA2CFB">
        <w:rPr>
          <w:rFonts w:ascii="Arial" w:eastAsia="Times New Roman" w:hAnsi="Arial" w:cs="Arial"/>
          <w:sz w:val="24"/>
          <w:szCs w:val="24"/>
          <w:lang w:val="en-US"/>
        </w:rPr>
        <w:t>female participation in the workforce.</w:t>
      </w:r>
      <w:r w:rsidRPr="00CA2CFB">
        <w:rPr>
          <w:rStyle w:val="FootnoteReference"/>
          <w:rFonts w:ascii="Arial" w:eastAsia="Times New Roman" w:hAnsi="Arial" w:cs="Arial"/>
          <w:sz w:val="24"/>
          <w:szCs w:val="24"/>
          <w:lang w:val="en-US"/>
        </w:rPr>
        <w:footnoteReference w:id="30"/>
      </w:r>
    </w:p>
    <w:p w:rsidR="001F726F" w:rsidRPr="000D0504"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60351D">
        <w:rPr>
          <w:rFonts w:ascii="Arial" w:eastAsia="Times New Roman" w:hAnsi="Arial" w:cs="Arial"/>
          <w:sz w:val="24"/>
          <w:szCs w:val="24"/>
          <w:lang w:val="en-US"/>
        </w:rPr>
        <w:t xml:space="preserve">As can be seen from the table below, Western Australia continues to have the largest gender pay gap in Australia, as measured by Average Weekly Ordinary Time Earnings </w:t>
      </w:r>
      <w:r w:rsidRPr="000822CA">
        <w:rPr>
          <w:rFonts w:ascii="Arial" w:eastAsia="Times New Roman" w:hAnsi="Arial" w:cs="Arial"/>
          <w:sz w:val="24"/>
          <w:szCs w:val="24"/>
          <w:lang w:val="en-US"/>
        </w:rPr>
        <w:t>(</w:t>
      </w:r>
      <w:r w:rsidRPr="00DC263C">
        <w:rPr>
          <w:rFonts w:ascii="Arial" w:eastAsia="Times New Roman" w:hAnsi="Arial" w:cs="Arial"/>
          <w:b/>
          <w:sz w:val="24"/>
          <w:szCs w:val="24"/>
          <w:lang w:val="en-US"/>
        </w:rPr>
        <w:t>AWOTE</w:t>
      </w:r>
      <w:r w:rsidRPr="000822CA">
        <w:rPr>
          <w:rFonts w:ascii="Arial" w:eastAsia="Times New Roman" w:hAnsi="Arial" w:cs="Arial"/>
          <w:sz w:val="24"/>
          <w:szCs w:val="24"/>
          <w:lang w:val="en-US"/>
        </w:rPr>
        <w:t>).</w:t>
      </w:r>
      <w:r w:rsidRPr="0060351D">
        <w:rPr>
          <w:rFonts w:ascii="Arial" w:eastAsia="Times New Roman" w:hAnsi="Arial" w:cs="Arial"/>
          <w:sz w:val="24"/>
          <w:szCs w:val="24"/>
          <w:lang w:val="en-US"/>
        </w:rPr>
        <w:t xml:space="preserve"> The State’s gender pay gap </w:t>
      </w:r>
      <w:r w:rsidRPr="000D0504">
        <w:rPr>
          <w:rFonts w:ascii="Arial" w:eastAsia="Times New Roman" w:hAnsi="Arial" w:cs="Arial"/>
          <w:sz w:val="24"/>
          <w:szCs w:val="24"/>
          <w:lang w:val="en-US"/>
        </w:rPr>
        <w:t>was 2</w:t>
      </w:r>
      <w:r w:rsidR="000D0504" w:rsidRPr="000D0504">
        <w:rPr>
          <w:rFonts w:ascii="Arial" w:eastAsia="Times New Roman" w:hAnsi="Arial" w:cs="Arial"/>
          <w:sz w:val="24"/>
          <w:szCs w:val="24"/>
          <w:lang w:val="en-US"/>
        </w:rPr>
        <w:t>3</w:t>
      </w:r>
      <w:r w:rsidRPr="000D0504">
        <w:rPr>
          <w:rFonts w:ascii="Arial" w:eastAsia="Times New Roman" w:hAnsi="Arial" w:cs="Arial"/>
          <w:sz w:val="24"/>
          <w:szCs w:val="24"/>
          <w:lang w:val="en-US"/>
        </w:rPr>
        <w:t>.</w:t>
      </w:r>
      <w:r w:rsidR="000D0504" w:rsidRPr="000D0504">
        <w:rPr>
          <w:rFonts w:ascii="Arial" w:eastAsia="Times New Roman" w:hAnsi="Arial" w:cs="Arial"/>
          <w:sz w:val="24"/>
          <w:szCs w:val="24"/>
          <w:lang w:val="en-US"/>
        </w:rPr>
        <w:t>2</w:t>
      </w:r>
      <w:r w:rsidRPr="000D0504">
        <w:rPr>
          <w:rFonts w:ascii="Arial" w:eastAsia="Times New Roman" w:hAnsi="Arial" w:cs="Arial"/>
          <w:sz w:val="24"/>
          <w:szCs w:val="24"/>
          <w:lang w:val="en-US"/>
        </w:rPr>
        <w:t xml:space="preserve"> per cent</w:t>
      </w:r>
      <w:r w:rsidRPr="0060351D">
        <w:rPr>
          <w:rFonts w:ascii="Arial" w:eastAsia="Times New Roman" w:hAnsi="Arial" w:cs="Arial"/>
          <w:sz w:val="24"/>
          <w:szCs w:val="24"/>
          <w:lang w:val="en-US"/>
        </w:rPr>
        <w:t xml:space="preserve"> in </w:t>
      </w:r>
      <w:r w:rsidRPr="00873DFA">
        <w:rPr>
          <w:rFonts w:ascii="Arial" w:eastAsia="Times New Roman" w:hAnsi="Arial" w:cs="Arial"/>
          <w:sz w:val="24"/>
          <w:szCs w:val="24"/>
          <w:lang w:val="en-US"/>
        </w:rPr>
        <w:t>November 201</w:t>
      </w:r>
      <w:r w:rsidR="00873DFA" w:rsidRPr="00873DFA">
        <w:rPr>
          <w:rFonts w:ascii="Arial" w:eastAsia="Times New Roman" w:hAnsi="Arial" w:cs="Arial"/>
          <w:sz w:val="24"/>
          <w:szCs w:val="24"/>
          <w:lang w:val="en-US"/>
        </w:rPr>
        <w:t>8</w:t>
      </w:r>
      <w:r w:rsidRPr="00873DFA">
        <w:rPr>
          <w:rFonts w:ascii="Arial" w:eastAsia="Times New Roman" w:hAnsi="Arial" w:cs="Arial"/>
          <w:sz w:val="24"/>
          <w:szCs w:val="24"/>
          <w:lang w:val="en-US"/>
        </w:rPr>
        <w:t>,</w:t>
      </w:r>
      <w:r w:rsidRPr="0060351D">
        <w:rPr>
          <w:rFonts w:ascii="Arial" w:eastAsia="Times New Roman" w:hAnsi="Arial" w:cs="Arial"/>
          <w:sz w:val="24"/>
          <w:szCs w:val="24"/>
          <w:lang w:val="en-US"/>
        </w:rPr>
        <w:t xml:space="preserve"> compared </w:t>
      </w:r>
      <w:r w:rsidRPr="000D0504">
        <w:rPr>
          <w:rFonts w:ascii="Arial" w:eastAsia="Times New Roman" w:hAnsi="Arial" w:cs="Arial"/>
          <w:sz w:val="24"/>
          <w:szCs w:val="24"/>
          <w:lang w:val="en-US"/>
        </w:rPr>
        <w:t>with 1</w:t>
      </w:r>
      <w:r w:rsidR="000D0504" w:rsidRPr="000D0504">
        <w:rPr>
          <w:rFonts w:ascii="Arial" w:eastAsia="Times New Roman" w:hAnsi="Arial" w:cs="Arial"/>
          <w:sz w:val="24"/>
          <w:szCs w:val="24"/>
          <w:lang w:val="en-US"/>
        </w:rPr>
        <w:t>4</w:t>
      </w:r>
      <w:r w:rsidRPr="000D0504">
        <w:rPr>
          <w:rFonts w:ascii="Arial" w:eastAsia="Times New Roman" w:hAnsi="Arial" w:cs="Arial"/>
          <w:sz w:val="24"/>
          <w:szCs w:val="24"/>
          <w:lang w:val="en-US"/>
        </w:rPr>
        <w:t>.</w:t>
      </w:r>
      <w:r w:rsidR="000D0504" w:rsidRPr="000D0504">
        <w:rPr>
          <w:rFonts w:ascii="Arial" w:eastAsia="Times New Roman" w:hAnsi="Arial" w:cs="Arial"/>
          <w:sz w:val="24"/>
          <w:szCs w:val="24"/>
          <w:lang w:val="en-US"/>
        </w:rPr>
        <w:t>2</w:t>
      </w:r>
      <w:r w:rsidRPr="000D0504">
        <w:rPr>
          <w:rFonts w:ascii="Arial" w:eastAsia="Times New Roman" w:hAnsi="Arial" w:cs="Arial"/>
          <w:sz w:val="24"/>
          <w:szCs w:val="24"/>
          <w:lang w:val="en-US"/>
        </w:rPr>
        <w:t xml:space="preserve"> per cent nationally.</w:t>
      </w:r>
      <w:r w:rsidRPr="000D0504">
        <w:rPr>
          <w:rFonts w:ascii="Arial" w:hAnsi="Arial" w:cs="Arial"/>
          <w:sz w:val="24"/>
          <w:szCs w:val="24"/>
          <w:vertAlign w:val="superscript"/>
          <w:lang w:val="en-US"/>
        </w:rPr>
        <w:footnoteReference w:id="31"/>
      </w:r>
    </w:p>
    <w:p w:rsidR="001F726F" w:rsidRPr="00873DFA" w:rsidRDefault="001F726F" w:rsidP="001F726F">
      <w:pPr>
        <w:spacing w:after="0" w:line="240" w:lineRule="auto"/>
        <w:ind w:left="357"/>
        <w:jc w:val="center"/>
        <w:rPr>
          <w:rFonts w:ascii="Arial" w:eastAsia="Times New Roman" w:hAnsi="Arial" w:cs="Arial"/>
          <w:b/>
          <w:sz w:val="20"/>
          <w:szCs w:val="20"/>
          <w:lang w:val="en-US"/>
        </w:rPr>
      </w:pPr>
      <w:r w:rsidRPr="00873DFA">
        <w:rPr>
          <w:rFonts w:ascii="Arial" w:eastAsia="Times New Roman" w:hAnsi="Arial" w:cs="Arial"/>
          <w:b/>
          <w:sz w:val="20"/>
          <w:szCs w:val="20"/>
          <w:lang w:val="en-US"/>
        </w:rPr>
        <w:t>Table 2: Gender Pay Gap – by State / Territory – November Quarter 201</w:t>
      </w:r>
      <w:r w:rsidR="00873DFA" w:rsidRPr="00873DFA">
        <w:rPr>
          <w:rFonts w:ascii="Arial" w:eastAsia="Times New Roman" w:hAnsi="Arial" w:cs="Arial"/>
          <w:b/>
          <w:sz w:val="20"/>
          <w:szCs w:val="20"/>
          <w:lang w:val="en-US"/>
        </w:rPr>
        <w:t>8</w:t>
      </w:r>
      <w:r w:rsidR="000D0504">
        <w:rPr>
          <w:rStyle w:val="FootnoteReference"/>
          <w:rFonts w:ascii="Arial" w:eastAsia="Times New Roman" w:hAnsi="Arial" w:cs="Arial"/>
          <w:b/>
          <w:sz w:val="20"/>
          <w:szCs w:val="20"/>
          <w:lang w:val="en-US"/>
        </w:rPr>
        <w:footnoteReference w:id="32"/>
      </w:r>
    </w:p>
    <w:tbl>
      <w:tblPr>
        <w:tblStyle w:val="MediumGrid1-Accent4"/>
        <w:tblW w:w="8460" w:type="dxa"/>
        <w:jc w:val="center"/>
        <w:tblBorders>
          <w:top w:val="single" w:sz="12" w:space="0" w:color="FFFFFF" w:themeColor="background1"/>
          <w:left w:val="single" w:sz="12" w:space="0" w:color="FFFFFF" w:themeColor="background1"/>
          <w:bottom w:val="none" w:sz="0" w:space="0" w:color="auto"/>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115"/>
        <w:gridCol w:w="2115"/>
        <w:gridCol w:w="2115"/>
        <w:gridCol w:w="2115"/>
      </w:tblGrid>
      <w:tr w:rsidR="001F726F" w:rsidRPr="0010123A" w:rsidTr="00D121E5">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41" w:type="dxa"/>
            <w:vAlign w:val="center"/>
          </w:tcPr>
          <w:p w:rsidR="001F726F" w:rsidRPr="009C7932" w:rsidRDefault="001F726F" w:rsidP="009C7932">
            <w:pPr>
              <w:ind w:left="360" w:hanging="305"/>
              <w:jc w:val="center"/>
              <w:rPr>
                <w:rFonts w:ascii="Arial" w:eastAsia="Times New Roman" w:hAnsi="Arial" w:cs="Arial"/>
                <w:color w:val="000000" w:themeColor="text1"/>
                <w:sz w:val="20"/>
                <w:szCs w:val="20"/>
                <w:lang w:val="en-US"/>
              </w:rPr>
            </w:pPr>
            <w:r w:rsidRPr="009C7932">
              <w:rPr>
                <w:rFonts w:ascii="Arial" w:eastAsia="Times New Roman" w:hAnsi="Arial" w:cs="Arial"/>
                <w:color w:val="000000" w:themeColor="text1"/>
                <w:sz w:val="20"/>
                <w:szCs w:val="20"/>
                <w:lang w:val="en-US"/>
              </w:rPr>
              <w:t>State / Territory</w:t>
            </w:r>
          </w:p>
        </w:tc>
        <w:tc>
          <w:tcPr>
            <w:tcW w:w="2041" w:type="dxa"/>
            <w:vAlign w:val="center"/>
          </w:tcPr>
          <w:p w:rsidR="001F726F" w:rsidRPr="009C7932" w:rsidRDefault="001F726F" w:rsidP="009C7932">
            <w:pPr>
              <w:ind w:left="360" w:hanging="29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9C7932">
              <w:rPr>
                <w:rFonts w:ascii="Arial" w:eastAsia="Times New Roman" w:hAnsi="Arial" w:cs="Arial"/>
                <w:sz w:val="20"/>
                <w:szCs w:val="20"/>
                <w:lang w:val="en-US"/>
              </w:rPr>
              <w:t>Male AWOTE</w:t>
            </w:r>
          </w:p>
        </w:tc>
        <w:tc>
          <w:tcPr>
            <w:tcW w:w="2041" w:type="dxa"/>
            <w:vAlign w:val="center"/>
          </w:tcPr>
          <w:p w:rsidR="001F726F" w:rsidRPr="009C7932" w:rsidRDefault="001F726F" w:rsidP="009C7932">
            <w:pPr>
              <w:ind w:left="360" w:hanging="28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9C7932">
              <w:rPr>
                <w:rFonts w:ascii="Arial" w:eastAsia="Times New Roman" w:hAnsi="Arial" w:cs="Arial"/>
                <w:sz w:val="20"/>
                <w:szCs w:val="20"/>
                <w:lang w:val="en-US"/>
              </w:rPr>
              <w:t>Female AWOTE</w:t>
            </w:r>
          </w:p>
        </w:tc>
        <w:tc>
          <w:tcPr>
            <w:tcW w:w="2041" w:type="dxa"/>
            <w:vAlign w:val="center"/>
          </w:tcPr>
          <w:p w:rsidR="001F726F" w:rsidRPr="009C7932" w:rsidRDefault="001F726F" w:rsidP="009C7932">
            <w:pPr>
              <w:ind w:left="360" w:hanging="27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9C7932">
              <w:rPr>
                <w:rFonts w:ascii="Arial" w:eastAsia="Times New Roman" w:hAnsi="Arial" w:cs="Arial"/>
                <w:sz w:val="20"/>
                <w:szCs w:val="20"/>
                <w:lang w:val="en-US"/>
              </w:rPr>
              <w:t>Gender Pay Gap</w:t>
            </w:r>
          </w:p>
        </w:tc>
      </w:tr>
      <w:tr w:rsidR="008D10CE" w:rsidRPr="0010123A" w:rsidTr="00D121E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41" w:type="dxa"/>
            <w:shd w:val="clear" w:color="auto" w:fill="CCC0D9" w:themeFill="accent4" w:themeFillTint="66"/>
            <w:vAlign w:val="center"/>
          </w:tcPr>
          <w:p w:rsidR="008D10CE" w:rsidRPr="009C7932" w:rsidRDefault="008D10CE" w:rsidP="009C7932">
            <w:pPr>
              <w:ind w:left="360" w:hanging="305"/>
              <w:jc w:val="center"/>
              <w:rPr>
                <w:rFonts w:ascii="Arial" w:eastAsia="Times New Roman" w:hAnsi="Arial" w:cs="Arial"/>
                <w:color w:val="000000" w:themeColor="text1"/>
                <w:sz w:val="20"/>
                <w:szCs w:val="20"/>
                <w:lang w:val="en-US"/>
              </w:rPr>
            </w:pPr>
            <w:r w:rsidRPr="009C7932">
              <w:rPr>
                <w:rFonts w:ascii="Arial" w:eastAsia="Times New Roman" w:hAnsi="Arial" w:cs="Arial"/>
                <w:color w:val="000000" w:themeColor="text1"/>
                <w:sz w:val="20"/>
                <w:szCs w:val="20"/>
                <w:lang w:val="en-US"/>
              </w:rPr>
              <w:t>NSW</w:t>
            </w:r>
          </w:p>
        </w:tc>
        <w:tc>
          <w:tcPr>
            <w:tcW w:w="2041" w:type="dxa"/>
            <w:shd w:val="clear" w:color="auto" w:fill="CCC0D9" w:themeFill="accent4" w:themeFillTint="66"/>
            <w:vAlign w:val="center"/>
          </w:tcPr>
          <w:p w:rsidR="008D10CE"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s="Arial"/>
                <w:color w:val="000000"/>
                <w:sz w:val="20"/>
                <w:szCs w:val="20"/>
              </w:rPr>
              <w:t>$1,717.30</w:t>
            </w:r>
          </w:p>
        </w:tc>
        <w:tc>
          <w:tcPr>
            <w:tcW w:w="2041" w:type="dxa"/>
            <w:shd w:val="clear" w:color="auto" w:fill="CCC0D9" w:themeFill="accent4" w:themeFillTint="66"/>
            <w:vAlign w:val="center"/>
          </w:tcPr>
          <w:p w:rsidR="008D10CE"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$1,479.80</w:t>
            </w:r>
          </w:p>
        </w:tc>
        <w:tc>
          <w:tcPr>
            <w:tcW w:w="2041" w:type="dxa"/>
            <w:shd w:val="clear" w:color="auto" w:fill="CCC0D9" w:themeFill="accent4" w:themeFillTint="66"/>
            <w:vAlign w:val="center"/>
          </w:tcPr>
          <w:p w:rsidR="008D10CE" w:rsidRPr="009C7932"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7932">
              <w:rPr>
                <w:rFonts w:ascii="Arial" w:hAnsi="Arial" w:cs="Arial"/>
                <w:color w:val="000000"/>
                <w:sz w:val="20"/>
                <w:szCs w:val="20"/>
              </w:rPr>
              <w:t>13.8%</w:t>
            </w:r>
          </w:p>
        </w:tc>
      </w:tr>
      <w:tr w:rsidR="008D10CE" w:rsidRPr="0010123A" w:rsidTr="00D121E5">
        <w:trPr>
          <w:trHeight w:val="284"/>
          <w:jc w:val="center"/>
        </w:trPr>
        <w:tc>
          <w:tcPr>
            <w:cnfStyle w:val="001000000000" w:firstRow="0" w:lastRow="0" w:firstColumn="1" w:lastColumn="0" w:oddVBand="0" w:evenVBand="0" w:oddHBand="0" w:evenHBand="0" w:firstRowFirstColumn="0" w:firstRowLastColumn="0" w:lastRowFirstColumn="0" w:lastRowLastColumn="0"/>
            <w:tcW w:w="2041" w:type="dxa"/>
            <w:shd w:val="clear" w:color="auto" w:fill="E5DFEC" w:themeFill="accent4" w:themeFillTint="33"/>
            <w:vAlign w:val="center"/>
          </w:tcPr>
          <w:p w:rsidR="008D10CE" w:rsidRPr="009C7932" w:rsidRDefault="008D10CE" w:rsidP="009C7932">
            <w:pPr>
              <w:ind w:left="360" w:hanging="305"/>
              <w:jc w:val="center"/>
              <w:rPr>
                <w:rFonts w:ascii="Arial" w:eastAsia="Times New Roman" w:hAnsi="Arial" w:cs="Arial"/>
                <w:color w:val="000000" w:themeColor="text1"/>
                <w:sz w:val="20"/>
                <w:szCs w:val="20"/>
                <w:lang w:val="en-US"/>
              </w:rPr>
            </w:pPr>
            <w:r w:rsidRPr="009C7932">
              <w:rPr>
                <w:rFonts w:ascii="Arial" w:eastAsia="Times New Roman" w:hAnsi="Arial" w:cs="Arial"/>
                <w:color w:val="000000" w:themeColor="text1"/>
                <w:sz w:val="20"/>
                <w:szCs w:val="20"/>
                <w:lang w:val="en-US"/>
              </w:rPr>
              <w:t>VIC</w:t>
            </w:r>
          </w:p>
        </w:tc>
        <w:tc>
          <w:tcPr>
            <w:tcW w:w="2041" w:type="dxa"/>
            <w:shd w:val="clear" w:color="auto" w:fill="E5DFEC" w:themeFill="accent4" w:themeFillTint="33"/>
            <w:vAlign w:val="center"/>
          </w:tcPr>
          <w:p w:rsidR="008D10CE" w:rsidRDefault="008D10CE" w:rsidP="009C79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$1,614.40</w:t>
            </w:r>
          </w:p>
        </w:tc>
        <w:tc>
          <w:tcPr>
            <w:tcW w:w="2041" w:type="dxa"/>
            <w:shd w:val="clear" w:color="auto" w:fill="E5DFEC" w:themeFill="accent4" w:themeFillTint="33"/>
            <w:vAlign w:val="center"/>
          </w:tcPr>
          <w:p w:rsidR="008D10CE" w:rsidRDefault="008D10CE" w:rsidP="009C79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$1,468.80</w:t>
            </w:r>
          </w:p>
        </w:tc>
        <w:tc>
          <w:tcPr>
            <w:tcW w:w="2041" w:type="dxa"/>
            <w:shd w:val="clear" w:color="auto" w:fill="E5DFEC" w:themeFill="accent4" w:themeFillTint="33"/>
            <w:vAlign w:val="center"/>
          </w:tcPr>
          <w:p w:rsidR="008D10CE" w:rsidRPr="009C7932" w:rsidRDefault="008D10CE" w:rsidP="009C79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7932">
              <w:rPr>
                <w:rFonts w:ascii="Arial" w:hAnsi="Arial" w:cs="Arial"/>
                <w:color w:val="000000"/>
                <w:sz w:val="20"/>
                <w:szCs w:val="20"/>
              </w:rPr>
              <w:t>9.0%</w:t>
            </w:r>
          </w:p>
        </w:tc>
      </w:tr>
      <w:tr w:rsidR="008D10CE" w:rsidRPr="0010123A" w:rsidTr="00D121E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41" w:type="dxa"/>
            <w:shd w:val="clear" w:color="auto" w:fill="CCC0D9" w:themeFill="accent4" w:themeFillTint="66"/>
            <w:vAlign w:val="center"/>
          </w:tcPr>
          <w:p w:rsidR="008D10CE" w:rsidRPr="009C7932" w:rsidRDefault="008D10CE" w:rsidP="009C7932">
            <w:pPr>
              <w:ind w:left="360" w:hanging="305"/>
              <w:jc w:val="center"/>
              <w:rPr>
                <w:rFonts w:ascii="Arial" w:eastAsia="Times New Roman" w:hAnsi="Arial" w:cs="Arial"/>
                <w:color w:val="000000" w:themeColor="text1"/>
                <w:sz w:val="20"/>
                <w:szCs w:val="20"/>
                <w:lang w:val="en-US"/>
              </w:rPr>
            </w:pPr>
            <w:r w:rsidRPr="009C7932">
              <w:rPr>
                <w:rFonts w:ascii="Arial" w:eastAsia="Times New Roman" w:hAnsi="Arial" w:cs="Arial"/>
                <w:color w:val="000000" w:themeColor="text1"/>
                <w:sz w:val="20"/>
                <w:szCs w:val="20"/>
                <w:lang w:val="en-US"/>
              </w:rPr>
              <w:t>QLD</w:t>
            </w:r>
          </w:p>
        </w:tc>
        <w:tc>
          <w:tcPr>
            <w:tcW w:w="2041" w:type="dxa"/>
            <w:shd w:val="clear" w:color="auto" w:fill="CCC0D9" w:themeFill="accent4" w:themeFillTint="66"/>
            <w:vAlign w:val="center"/>
          </w:tcPr>
          <w:p w:rsidR="008D10CE" w:rsidRDefault="00DB7C8D"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$1684.40</w:t>
            </w:r>
          </w:p>
        </w:tc>
        <w:tc>
          <w:tcPr>
            <w:tcW w:w="2041" w:type="dxa"/>
            <w:shd w:val="clear" w:color="auto" w:fill="CCC0D9" w:themeFill="accent4" w:themeFillTint="66"/>
            <w:vAlign w:val="center"/>
          </w:tcPr>
          <w:p w:rsidR="008D10CE" w:rsidRDefault="00DB7C8D"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$1389.80</w:t>
            </w:r>
          </w:p>
        </w:tc>
        <w:tc>
          <w:tcPr>
            <w:tcW w:w="2041" w:type="dxa"/>
            <w:shd w:val="clear" w:color="auto" w:fill="CCC0D9" w:themeFill="accent4" w:themeFillTint="66"/>
            <w:vAlign w:val="center"/>
          </w:tcPr>
          <w:p w:rsidR="008D10CE" w:rsidRPr="009C7932" w:rsidRDefault="00DB7C8D"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17.5%</w:t>
            </w:r>
          </w:p>
        </w:tc>
      </w:tr>
      <w:tr w:rsidR="008D10CE" w:rsidRPr="0010123A" w:rsidTr="00D121E5">
        <w:trPr>
          <w:trHeight w:val="284"/>
          <w:jc w:val="center"/>
        </w:trPr>
        <w:tc>
          <w:tcPr>
            <w:cnfStyle w:val="001000000000" w:firstRow="0" w:lastRow="0" w:firstColumn="1" w:lastColumn="0" w:oddVBand="0" w:evenVBand="0" w:oddHBand="0" w:evenHBand="0" w:firstRowFirstColumn="0" w:firstRowLastColumn="0" w:lastRowFirstColumn="0" w:lastRowLastColumn="0"/>
            <w:tcW w:w="2041" w:type="dxa"/>
            <w:shd w:val="clear" w:color="auto" w:fill="E5DFEC" w:themeFill="accent4" w:themeFillTint="33"/>
            <w:vAlign w:val="center"/>
          </w:tcPr>
          <w:p w:rsidR="008D10CE" w:rsidRPr="009C7932" w:rsidRDefault="008D10CE" w:rsidP="009C7932">
            <w:pPr>
              <w:ind w:left="360" w:hanging="305"/>
              <w:jc w:val="center"/>
              <w:rPr>
                <w:rFonts w:ascii="Arial" w:eastAsia="Times New Roman" w:hAnsi="Arial" w:cs="Arial"/>
                <w:color w:val="000000" w:themeColor="text1"/>
                <w:sz w:val="20"/>
                <w:szCs w:val="20"/>
                <w:lang w:val="en-US"/>
              </w:rPr>
            </w:pPr>
            <w:r w:rsidRPr="009C7932">
              <w:rPr>
                <w:rFonts w:ascii="Arial" w:eastAsia="Times New Roman" w:hAnsi="Arial" w:cs="Arial"/>
                <w:color w:val="000000" w:themeColor="text1"/>
                <w:sz w:val="20"/>
                <w:szCs w:val="20"/>
                <w:lang w:val="en-US"/>
              </w:rPr>
              <w:t>SA</w:t>
            </w:r>
          </w:p>
        </w:tc>
        <w:tc>
          <w:tcPr>
            <w:tcW w:w="2041" w:type="dxa"/>
            <w:shd w:val="clear" w:color="auto" w:fill="E5DFEC" w:themeFill="accent4" w:themeFillTint="33"/>
            <w:vAlign w:val="center"/>
          </w:tcPr>
          <w:p w:rsidR="008D10CE" w:rsidRDefault="008D10CE" w:rsidP="00DB7C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$1,514.</w:t>
            </w:r>
            <w:r w:rsidR="00DB7C8D">
              <w:rPr>
                <w:rFonts w:ascii="Arial" w:hAnsi="Arial" w:cs="Arial"/>
                <w:color w:val="000000"/>
                <w:sz w:val="20"/>
                <w:szCs w:val="20"/>
              </w:rPr>
              <w:t>10</w:t>
            </w:r>
          </w:p>
        </w:tc>
        <w:tc>
          <w:tcPr>
            <w:tcW w:w="2041" w:type="dxa"/>
            <w:shd w:val="clear" w:color="auto" w:fill="E5DFEC" w:themeFill="accent4" w:themeFillTint="33"/>
            <w:vAlign w:val="center"/>
          </w:tcPr>
          <w:p w:rsidR="008D10CE" w:rsidRDefault="00DB7C8D" w:rsidP="009C79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$1371.00</w:t>
            </w:r>
          </w:p>
        </w:tc>
        <w:tc>
          <w:tcPr>
            <w:tcW w:w="2041" w:type="dxa"/>
            <w:shd w:val="clear" w:color="auto" w:fill="E5DFEC" w:themeFill="accent4" w:themeFillTint="33"/>
            <w:vAlign w:val="center"/>
          </w:tcPr>
          <w:p w:rsidR="008D10CE" w:rsidRPr="009C7932" w:rsidRDefault="00DB7C8D" w:rsidP="009C79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9.5%</w:t>
            </w:r>
          </w:p>
        </w:tc>
      </w:tr>
      <w:tr w:rsidR="008D10CE" w:rsidRPr="0010123A" w:rsidTr="00D121E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41" w:type="dxa"/>
            <w:shd w:val="clear" w:color="auto" w:fill="CCC0D9" w:themeFill="accent4" w:themeFillTint="66"/>
            <w:vAlign w:val="center"/>
          </w:tcPr>
          <w:p w:rsidR="008D10CE" w:rsidRPr="009C7932" w:rsidRDefault="008D10CE" w:rsidP="009C7932">
            <w:pPr>
              <w:ind w:left="360" w:hanging="305"/>
              <w:jc w:val="center"/>
              <w:rPr>
                <w:rFonts w:ascii="Arial" w:eastAsia="Times New Roman" w:hAnsi="Arial" w:cs="Arial"/>
                <w:color w:val="000000" w:themeColor="text1"/>
                <w:sz w:val="20"/>
                <w:szCs w:val="20"/>
                <w:lang w:val="en-US"/>
              </w:rPr>
            </w:pPr>
            <w:r w:rsidRPr="009C7932">
              <w:rPr>
                <w:rFonts w:ascii="Arial" w:eastAsia="Times New Roman" w:hAnsi="Arial" w:cs="Arial"/>
                <w:color w:val="000000" w:themeColor="text1"/>
                <w:sz w:val="20"/>
                <w:szCs w:val="20"/>
                <w:lang w:val="en-US"/>
              </w:rPr>
              <w:t>WA</w:t>
            </w:r>
          </w:p>
        </w:tc>
        <w:tc>
          <w:tcPr>
            <w:tcW w:w="2041" w:type="dxa"/>
            <w:shd w:val="clear" w:color="auto" w:fill="CCC0D9" w:themeFill="accent4" w:themeFillTint="66"/>
            <w:vAlign w:val="center"/>
          </w:tcPr>
          <w:p w:rsidR="008D10CE"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$1,915.90</w:t>
            </w:r>
          </w:p>
        </w:tc>
        <w:tc>
          <w:tcPr>
            <w:tcW w:w="2041" w:type="dxa"/>
            <w:shd w:val="clear" w:color="auto" w:fill="CCC0D9" w:themeFill="accent4" w:themeFillTint="66"/>
            <w:vAlign w:val="center"/>
          </w:tcPr>
          <w:p w:rsidR="008D10CE"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$1,472.20</w:t>
            </w:r>
          </w:p>
        </w:tc>
        <w:tc>
          <w:tcPr>
            <w:tcW w:w="2041" w:type="dxa"/>
            <w:shd w:val="clear" w:color="auto" w:fill="CCC0D9" w:themeFill="accent4" w:themeFillTint="66"/>
            <w:vAlign w:val="center"/>
          </w:tcPr>
          <w:p w:rsidR="008D10CE" w:rsidRPr="009C7932"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7932">
              <w:rPr>
                <w:rFonts w:ascii="Arial" w:hAnsi="Arial" w:cs="Arial"/>
                <w:color w:val="000000"/>
                <w:sz w:val="20"/>
                <w:szCs w:val="20"/>
              </w:rPr>
              <w:t>23.2%</w:t>
            </w:r>
          </w:p>
        </w:tc>
      </w:tr>
      <w:tr w:rsidR="008D10CE" w:rsidRPr="0010123A" w:rsidTr="00D121E5">
        <w:trPr>
          <w:trHeight w:val="284"/>
          <w:jc w:val="center"/>
        </w:trPr>
        <w:tc>
          <w:tcPr>
            <w:cnfStyle w:val="001000000000" w:firstRow="0" w:lastRow="0" w:firstColumn="1" w:lastColumn="0" w:oddVBand="0" w:evenVBand="0" w:oddHBand="0" w:evenHBand="0" w:firstRowFirstColumn="0" w:firstRowLastColumn="0" w:lastRowFirstColumn="0" w:lastRowLastColumn="0"/>
            <w:tcW w:w="2041" w:type="dxa"/>
            <w:shd w:val="clear" w:color="auto" w:fill="E5DFEC" w:themeFill="accent4" w:themeFillTint="33"/>
            <w:vAlign w:val="center"/>
          </w:tcPr>
          <w:p w:rsidR="008D10CE" w:rsidRPr="009C7932" w:rsidRDefault="008D10CE" w:rsidP="009C7932">
            <w:pPr>
              <w:ind w:left="360" w:hanging="305"/>
              <w:jc w:val="center"/>
              <w:rPr>
                <w:rFonts w:ascii="Arial" w:eastAsia="Times New Roman" w:hAnsi="Arial" w:cs="Arial"/>
                <w:color w:val="000000" w:themeColor="text1"/>
                <w:sz w:val="20"/>
                <w:szCs w:val="20"/>
                <w:lang w:val="en-US"/>
              </w:rPr>
            </w:pPr>
            <w:r w:rsidRPr="009C7932">
              <w:rPr>
                <w:rFonts w:ascii="Arial" w:eastAsia="Times New Roman" w:hAnsi="Arial" w:cs="Arial"/>
                <w:color w:val="000000" w:themeColor="text1"/>
                <w:sz w:val="20"/>
                <w:szCs w:val="20"/>
                <w:lang w:val="en-US"/>
              </w:rPr>
              <w:t>TAS</w:t>
            </w:r>
          </w:p>
        </w:tc>
        <w:tc>
          <w:tcPr>
            <w:tcW w:w="2041" w:type="dxa"/>
            <w:shd w:val="clear" w:color="auto" w:fill="E5DFEC" w:themeFill="accent4" w:themeFillTint="33"/>
            <w:vAlign w:val="center"/>
          </w:tcPr>
          <w:p w:rsidR="008D10CE" w:rsidRDefault="008D10CE" w:rsidP="009C79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$1,452.10</w:t>
            </w:r>
          </w:p>
        </w:tc>
        <w:tc>
          <w:tcPr>
            <w:tcW w:w="2041" w:type="dxa"/>
            <w:shd w:val="clear" w:color="auto" w:fill="E5DFEC" w:themeFill="accent4" w:themeFillTint="33"/>
            <w:vAlign w:val="center"/>
          </w:tcPr>
          <w:p w:rsidR="008D10CE" w:rsidRDefault="008D10CE" w:rsidP="009C79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$1,299.80</w:t>
            </w:r>
          </w:p>
        </w:tc>
        <w:tc>
          <w:tcPr>
            <w:tcW w:w="2041" w:type="dxa"/>
            <w:shd w:val="clear" w:color="auto" w:fill="E5DFEC" w:themeFill="accent4" w:themeFillTint="33"/>
            <w:vAlign w:val="center"/>
          </w:tcPr>
          <w:p w:rsidR="008D10CE" w:rsidRPr="009C7932" w:rsidRDefault="008D10CE" w:rsidP="009C79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7932">
              <w:rPr>
                <w:rFonts w:ascii="Arial" w:hAnsi="Arial" w:cs="Arial"/>
                <w:color w:val="000000"/>
                <w:sz w:val="20"/>
                <w:szCs w:val="20"/>
              </w:rPr>
              <w:t>10.5%</w:t>
            </w:r>
          </w:p>
        </w:tc>
      </w:tr>
      <w:tr w:rsidR="008D10CE" w:rsidRPr="0010123A" w:rsidTr="00D121E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41" w:type="dxa"/>
            <w:shd w:val="clear" w:color="auto" w:fill="CCC0D9" w:themeFill="accent4" w:themeFillTint="66"/>
            <w:vAlign w:val="center"/>
          </w:tcPr>
          <w:p w:rsidR="008D10CE" w:rsidRPr="009C7932" w:rsidRDefault="008D10CE" w:rsidP="009C7932">
            <w:pPr>
              <w:ind w:left="360" w:hanging="305"/>
              <w:jc w:val="center"/>
              <w:rPr>
                <w:rFonts w:ascii="Arial" w:eastAsia="Times New Roman" w:hAnsi="Arial" w:cs="Arial"/>
                <w:color w:val="000000" w:themeColor="text1"/>
                <w:sz w:val="20"/>
                <w:szCs w:val="20"/>
                <w:lang w:val="en-US"/>
              </w:rPr>
            </w:pPr>
            <w:r w:rsidRPr="009C7932">
              <w:rPr>
                <w:rFonts w:ascii="Arial" w:eastAsia="Times New Roman" w:hAnsi="Arial" w:cs="Arial"/>
                <w:color w:val="000000" w:themeColor="text1"/>
                <w:sz w:val="20"/>
                <w:szCs w:val="20"/>
                <w:lang w:val="en-US"/>
              </w:rPr>
              <w:t>NT</w:t>
            </w:r>
          </w:p>
        </w:tc>
        <w:tc>
          <w:tcPr>
            <w:tcW w:w="2041" w:type="dxa"/>
            <w:shd w:val="clear" w:color="auto" w:fill="CCC0D9" w:themeFill="accent4" w:themeFillTint="66"/>
            <w:vAlign w:val="center"/>
          </w:tcPr>
          <w:p w:rsidR="008D10CE"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$1,762.90</w:t>
            </w:r>
          </w:p>
        </w:tc>
        <w:tc>
          <w:tcPr>
            <w:tcW w:w="2041" w:type="dxa"/>
            <w:shd w:val="clear" w:color="auto" w:fill="CCC0D9" w:themeFill="accent4" w:themeFillTint="66"/>
            <w:vAlign w:val="center"/>
          </w:tcPr>
          <w:p w:rsidR="008D10CE"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$1,500.80</w:t>
            </w:r>
          </w:p>
        </w:tc>
        <w:tc>
          <w:tcPr>
            <w:tcW w:w="2041" w:type="dxa"/>
            <w:shd w:val="clear" w:color="auto" w:fill="CCC0D9" w:themeFill="accent4" w:themeFillTint="66"/>
            <w:vAlign w:val="center"/>
          </w:tcPr>
          <w:p w:rsidR="008D10CE" w:rsidRPr="009C7932"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7932">
              <w:rPr>
                <w:rFonts w:ascii="Arial" w:hAnsi="Arial" w:cs="Arial"/>
                <w:color w:val="000000"/>
                <w:sz w:val="20"/>
                <w:szCs w:val="20"/>
              </w:rPr>
              <w:t>14.9%</w:t>
            </w:r>
          </w:p>
        </w:tc>
      </w:tr>
      <w:tr w:rsidR="008D10CE" w:rsidRPr="0010123A" w:rsidTr="00D121E5">
        <w:trPr>
          <w:trHeight w:val="284"/>
          <w:jc w:val="center"/>
        </w:trPr>
        <w:tc>
          <w:tcPr>
            <w:cnfStyle w:val="001000000000" w:firstRow="0" w:lastRow="0" w:firstColumn="1" w:lastColumn="0" w:oddVBand="0" w:evenVBand="0" w:oddHBand="0" w:evenHBand="0" w:firstRowFirstColumn="0" w:firstRowLastColumn="0" w:lastRowFirstColumn="0" w:lastRowLastColumn="0"/>
            <w:tcW w:w="2041" w:type="dxa"/>
            <w:shd w:val="clear" w:color="auto" w:fill="E5DFEC" w:themeFill="accent4" w:themeFillTint="33"/>
            <w:vAlign w:val="center"/>
          </w:tcPr>
          <w:p w:rsidR="008D10CE" w:rsidRPr="009C7932" w:rsidRDefault="008D10CE" w:rsidP="009C7932">
            <w:pPr>
              <w:ind w:left="360" w:hanging="305"/>
              <w:jc w:val="center"/>
              <w:rPr>
                <w:rFonts w:ascii="Arial" w:eastAsia="Times New Roman" w:hAnsi="Arial" w:cs="Arial"/>
                <w:color w:val="000000" w:themeColor="text1"/>
                <w:sz w:val="20"/>
                <w:szCs w:val="20"/>
                <w:lang w:val="en-US"/>
              </w:rPr>
            </w:pPr>
            <w:r w:rsidRPr="009C7932">
              <w:rPr>
                <w:rFonts w:ascii="Arial" w:eastAsia="Times New Roman" w:hAnsi="Arial" w:cs="Arial"/>
                <w:color w:val="000000" w:themeColor="text1"/>
                <w:sz w:val="20"/>
                <w:szCs w:val="20"/>
                <w:lang w:val="en-US"/>
              </w:rPr>
              <w:t>ACT</w:t>
            </w:r>
          </w:p>
        </w:tc>
        <w:tc>
          <w:tcPr>
            <w:tcW w:w="2041" w:type="dxa"/>
            <w:shd w:val="clear" w:color="auto" w:fill="E5DFEC" w:themeFill="accent4" w:themeFillTint="33"/>
            <w:vAlign w:val="center"/>
          </w:tcPr>
          <w:p w:rsidR="008D10CE" w:rsidRDefault="008D10CE" w:rsidP="009C79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$1,936.80</w:t>
            </w:r>
          </w:p>
        </w:tc>
        <w:tc>
          <w:tcPr>
            <w:tcW w:w="2041" w:type="dxa"/>
            <w:shd w:val="clear" w:color="auto" w:fill="E5DFEC" w:themeFill="accent4" w:themeFillTint="33"/>
            <w:vAlign w:val="center"/>
          </w:tcPr>
          <w:p w:rsidR="008D10CE" w:rsidRDefault="008D10CE" w:rsidP="009C79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$1,657.80</w:t>
            </w:r>
          </w:p>
        </w:tc>
        <w:tc>
          <w:tcPr>
            <w:tcW w:w="2041" w:type="dxa"/>
            <w:shd w:val="clear" w:color="auto" w:fill="E5DFEC" w:themeFill="accent4" w:themeFillTint="33"/>
            <w:vAlign w:val="center"/>
          </w:tcPr>
          <w:p w:rsidR="008D10CE" w:rsidRPr="009C7932" w:rsidRDefault="008D10CE" w:rsidP="009C79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7932">
              <w:rPr>
                <w:rFonts w:ascii="Arial" w:hAnsi="Arial" w:cs="Arial"/>
                <w:color w:val="000000"/>
                <w:sz w:val="20"/>
                <w:szCs w:val="20"/>
              </w:rPr>
              <w:t>14.4%</w:t>
            </w:r>
          </w:p>
        </w:tc>
      </w:tr>
      <w:tr w:rsidR="008D10CE" w:rsidRPr="00894F49" w:rsidTr="00D121E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41" w:type="dxa"/>
            <w:shd w:val="clear" w:color="auto" w:fill="CCC0D9" w:themeFill="accent4" w:themeFillTint="66"/>
            <w:vAlign w:val="center"/>
          </w:tcPr>
          <w:p w:rsidR="008D10CE" w:rsidRPr="009C7932" w:rsidRDefault="008D10CE" w:rsidP="009C7932">
            <w:pPr>
              <w:ind w:left="360" w:hanging="305"/>
              <w:jc w:val="center"/>
              <w:rPr>
                <w:rFonts w:ascii="Arial" w:eastAsia="Times New Roman" w:hAnsi="Arial" w:cs="Arial"/>
                <w:color w:val="000000" w:themeColor="text1"/>
                <w:sz w:val="20"/>
                <w:szCs w:val="20"/>
                <w:lang w:val="en-US"/>
              </w:rPr>
            </w:pPr>
            <w:r w:rsidRPr="009C7932">
              <w:rPr>
                <w:rFonts w:ascii="Arial" w:eastAsia="Times New Roman" w:hAnsi="Arial" w:cs="Arial"/>
                <w:color w:val="000000" w:themeColor="text1"/>
                <w:sz w:val="20"/>
                <w:szCs w:val="20"/>
                <w:lang w:val="en-US"/>
              </w:rPr>
              <w:t>AUS</w:t>
            </w:r>
          </w:p>
        </w:tc>
        <w:tc>
          <w:tcPr>
            <w:tcW w:w="2041" w:type="dxa"/>
            <w:shd w:val="clear" w:color="auto" w:fill="CCC0D9" w:themeFill="accent4" w:themeFillTint="66"/>
            <w:vAlign w:val="center"/>
          </w:tcPr>
          <w:p w:rsidR="008D10CE"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$1,696.50</w:t>
            </w:r>
          </w:p>
        </w:tc>
        <w:tc>
          <w:tcPr>
            <w:tcW w:w="2041" w:type="dxa"/>
            <w:shd w:val="clear" w:color="auto" w:fill="CCC0D9" w:themeFill="accent4" w:themeFillTint="66"/>
            <w:vAlign w:val="center"/>
          </w:tcPr>
          <w:p w:rsidR="008D10CE"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$1,455.70</w:t>
            </w:r>
          </w:p>
        </w:tc>
        <w:tc>
          <w:tcPr>
            <w:tcW w:w="2041" w:type="dxa"/>
            <w:shd w:val="clear" w:color="auto" w:fill="CCC0D9" w:themeFill="accent4" w:themeFillTint="66"/>
            <w:vAlign w:val="center"/>
          </w:tcPr>
          <w:p w:rsidR="008D10CE" w:rsidRPr="009C7932" w:rsidRDefault="008D10CE" w:rsidP="009C79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7932">
              <w:rPr>
                <w:rFonts w:ascii="Arial" w:hAnsi="Arial" w:cs="Arial"/>
                <w:color w:val="000000"/>
                <w:sz w:val="20"/>
                <w:szCs w:val="20"/>
              </w:rPr>
              <w:t>14.2%</w:t>
            </w:r>
          </w:p>
        </w:tc>
      </w:tr>
    </w:tbl>
    <w:p w:rsidR="001F726F" w:rsidRPr="00894F49" w:rsidRDefault="001F726F" w:rsidP="001F726F">
      <w:pPr>
        <w:spacing w:after="0" w:line="240" w:lineRule="auto"/>
        <w:ind w:left="567"/>
        <w:jc w:val="both"/>
        <w:rPr>
          <w:rFonts w:ascii="Arial" w:eastAsia="Times New Roman" w:hAnsi="Arial" w:cs="Arial"/>
          <w:sz w:val="24"/>
          <w:szCs w:val="24"/>
          <w:lang w:val="en-US"/>
        </w:rPr>
      </w:pPr>
    </w:p>
    <w:p w:rsidR="001F726F" w:rsidRPr="00CE7338"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60351D">
        <w:rPr>
          <w:rFonts w:ascii="Arial" w:eastAsia="Times New Roman" w:hAnsi="Arial" w:cs="Arial"/>
          <w:sz w:val="24"/>
          <w:szCs w:val="24"/>
          <w:lang w:val="en-US"/>
        </w:rPr>
        <w:t xml:space="preserve">Women are more likely to be paid in accordance with awards than their male </w:t>
      </w:r>
      <w:r w:rsidRPr="00CE7338">
        <w:rPr>
          <w:rFonts w:ascii="Arial" w:eastAsia="Times New Roman" w:hAnsi="Arial" w:cs="Arial"/>
          <w:sz w:val="24"/>
          <w:szCs w:val="24"/>
          <w:lang w:val="en-US"/>
        </w:rPr>
        <w:t xml:space="preserve">counterparts, at both lower and higher award classifications. In </w:t>
      </w:r>
      <w:r w:rsidR="006832C4">
        <w:rPr>
          <w:rFonts w:ascii="Arial" w:eastAsia="Times New Roman" w:hAnsi="Arial" w:cs="Arial"/>
          <w:sz w:val="24"/>
          <w:szCs w:val="24"/>
          <w:lang w:val="en-US"/>
        </w:rPr>
        <w:t>May</w:t>
      </w:r>
      <w:r w:rsidR="00873DFA" w:rsidRPr="00CE7338">
        <w:rPr>
          <w:rFonts w:ascii="Arial" w:eastAsia="Times New Roman" w:hAnsi="Arial" w:cs="Arial"/>
          <w:sz w:val="24"/>
          <w:szCs w:val="24"/>
          <w:lang w:val="en-US"/>
        </w:rPr>
        <w:t xml:space="preserve"> </w:t>
      </w:r>
      <w:r w:rsidRPr="00CE7338">
        <w:rPr>
          <w:rFonts w:ascii="Arial" w:eastAsia="Times New Roman" w:hAnsi="Arial" w:cs="Arial"/>
          <w:sz w:val="24"/>
          <w:szCs w:val="24"/>
          <w:lang w:val="en-US"/>
        </w:rPr>
        <w:t>201</w:t>
      </w:r>
      <w:r w:rsidR="0010123A" w:rsidRPr="00CE7338">
        <w:rPr>
          <w:rFonts w:ascii="Arial" w:eastAsia="Times New Roman" w:hAnsi="Arial" w:cs="Arial"/>
          <w:sz w:val="24"/>
          <w:szCs w:val="24"/>
          <w:lang w:val="en-US"/>
        </w:rPr>
        <w:t>8</w:t>
      </w:r>
      <w:r w:rsidRPr="00CE7338">
        <w:rPr>
          <w:rFonts w:ascii="Arial" w:eastAsia="Times New Roman" w:hAnsi="Arial" w:cs="Arial"/>
          <w:sz w:val="24"/>
          <w:szCs w:val="24"/>
          <w:lang w:val="en-US"/>
        </w:rPr>
        <w:t xml:space="preserve">, </w:t>
      </w:r>
      <w:r w:rsidRPr="00CE7338">
        <w:rPr>
          <w:rFonts w:ascii="Arial" w:hAnsi="Arial" w:cs="Arial"/>
          <w:sz w:val="24"/>
          <w:szCs w:val="24"/>
        </w:rPr>
        <w:t>2</w:t>
      </w:r>
      <w:r w:rsidR="002F6576" w:rsidRPr="00CE7338">
        <w:rPr>
          <w:rFonts w:ascii="Arial" w:hAnsi="Arial" w:cs="Arial"/>
          <w:sz w:val="24"/>
          <w:szCs w:val="24"/>
        </w:rPr>
        <w:t>6</w:t>
      </w:r>
      <w:r w:rsidRPr="00CE7338">
        <w:rPr>
          <w:rFonts w:ascii="Arial" w:hAnsi="Arial" w:cs="Arial"/>
          <w:sz w:val="24"/>
          <w:szCs w:val="24"/>
        </w:rPr>
        <w:t>.</w:t>
      </w:r>
      <w:r w:rsidR="002F6576" w:rsidRPr="00CE7338">
        <w:rPr>
          <w:rFonts w:ascii="Arial" w:hAnsi="Arial" w:cs="Arial"/>
          <w:sz w:val="24"/>
          <w:szCs w:val="24"/>
        </w:rPr>
        <w:t>6</w:t>
      </w:r>
      <w:r w:rsidRPr="00CE7338">
        <w:rPr>
          <w:rFonts w:ascii="Arial" w:hAnsi="Arial" w:cs="Arial"/>
          <w:sz w:val="24"/>
          <w:szCs w:val="24"/>
        </w:rPr>
        <w:t> per cent of female non-managerial employees in Australia were paid in accordance with an award, compared to 1</w:t>
      </w:r>
      <w:r w:rsidR="002F6576" w:rsidRPr="00CE7338">
        <w:rPr>
          <w:rFonts w:ascii="Arial" w:hAnsi="Arial" w:cs="Arial"/>
          <w:sz w:val="24"/>
          <w:szCs w:val="24"/>
        </w:rPr>
        <w:t>8</w:t>
      </w:r>
      <w:r w:rsidRPr="00CE7338">
        <w:rPr>
          <w:rFonts w:ascii="Arial" w:hAnsi="Arial" w:cs="Arial"/>
          <w:sz w:val="24"/>
          <w:szCs w:val="24"/>
        </w:rPr>
        <w:t>.</w:t>
      </w:r>
      <w:r w:rsidR="002F6576" w:rsidRPr="00CE7338">
        <w:rPr>
          <w:rFonts w:ascii="Arial" w:hAnsi="Arial" w:cs="Arial"/>
          <w:sz w:val="24"/>
          <w:szCs w:val="24"/>
        </w:rPr>
        <w:t>2</w:t>
      </w:r>
      <w:r w:rsidRPr="00CE7338">
        <w:rPr>
          <w:rFonts w:ascii="Arial" w:hAnsi="Arial" w:cs="Arial"/>
          <w:sz w:val="24"/>
          <w:szCs w:val="24"/>
        </w:rPr>
        <w:t xml:space="preserve"> per cent of male non-managerial employees.</w:t>
      </w:r>
      <w:r w:rsidRPr="00CE7338">
        <w:rPr>
          <w:rFonts w:ascii="Arial" w:hAnsi="Arial" w:cs="Arial"/>
          <w:sz w:val="24"/>
          <w:szCs w:val="24"/>
          <w:vertAlign w:val="superscript"/>
          <w:lang w:val="en-US"/>
        </w:rPr>
        <w:footnoteReference w:id="33"/>
      </w:r>
      <w:r w:rsidRPr="00CE7338">
        <w:rPr>
          <w:rFonts w:ascii="Arial" w:eastAsia="Times New Roman" w:hAnsi="Arial" w:cs="Arial"/>
          <w:sz w:val="24"/>
          <w:szCs w:val="24"/>
          <w:lang w:val="en-US"/>
        </w:rPr>
        <w:t xml:space="preserve"> </w:t>
      </w:r>
    </w:p>
    <w:p w:rsidR="001F726F" w:rsidRPr="0060351D"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sidRPr="00927B84">
        <w:rPr>
          <w:rFonts w:ascii="Arial" w:eastAsia="Times New Roman" w:hAnsi="Arial" w:cs="Arial"/>
          <w:sz w:val="24"/>
          <w:szCs w:val="24"/>
          <w:lang w:val="en-US"/>
        </w:rPr>
        <w:t xml:space="preserve">The causes of the gender pay gap include many </w:t>
      </w:r>
      <w:r w:rsidR="00873DFA">
        <w:rPr>
          <w:rFonts w:ascii="Arial" w:eastAsia="Times New Roman" w:hAnsi="Arial" w:cs="Arial"/>
          <w:sz w:val="24"/>
          <w:szCs w:val="24"/>
          <w:lang w:val="en-US"/>
        </w:rPr>
        <w:t xml:space="preserve">economic, </w:t>
      </w:r>
      <w:r w:rsidRPr="00927B84">
        <w:rPr>
          <w:rFonts w:ascii="Arial" w:eastAsia="Times New Roman" w:hAnsi="Arial" w:cs="Arial"/>
          <w:sz w:val="24"/>
          <w:szCs w:val="24"/>
          <w:lang w:val="en-US"/>
        </w:rPr>
        <w:t>social</w:t>
      </w:r>
      <w:r w:rsidR="00873DFA">
        <w:rPr>
          <w:rFonts w:ascii="Arial" w:eastAsia="Times New Roman" w:hAnsi="Arial" w:cs="Arial"/>
          <w:sz w:val="24"/>
          <w:szCs w:val="24"/>
          <w:lang w:val="en-US"/>
        </w:rPr>
        <w:t xml:space="preserve"> and </w:t>
      </w:r>
      <w:r w:rsidRPr="00927B84">
        <w:rPr>
          <w:rFonts w:ascii="Arial" w:eastAsia="Times New Roman" w:hAnsi="Arial" w:cs="Arial"/>
          <w:sz w:val="24"/>
          <w:szCs w:val="24"/>
          <w:lang w:val="en-US"/>
        </w:rPr>
        <w:t>histor</w:t>
      </w:r>
      <w:r>
        <w:rPr>
          <w:rFonts w:ascii="Arial" w:eastAsia="Times New Roman" w:hAnsi="Arial" w:cs="Arial"/>
          <w:sz w:val="24"/>
          <w:szCs w:val="24"/>
          <w:lang w:val="en-US"/>
        </w:rPr>
        <w:t xml:space="preserve">ic factors. </w:t>
      </w:r>
      <w:r w:rsidRPr="0060351D">
        <w:rPr>
          <w:rFonts w:ascii="Arial" w:eastAsia="Times New Roman" w:hAnsi="Arial" w:cs="Arial"/>
          <w:sz w:val="24"/>
          <w:szCs w:val="24"/>
          <w:lang w:val="en-US"/>
        </w:rPr>
        <w:t>While many of the</w:t>
      </w:r>
      <w:r w:rsidR="009D644E">
        <w:rPr>
          <w:rFonts w:ascii="Arial" w:eastAsia="Times New Roman" w:hAnsi="Arial" w:cs="Arial"/>
          <w:sz w:val="24"/>
          <w:szCs w:val="24"/>
          <w:lang w:val="en-US"/>
        </w:rPr>
        <w:t>se</w:t>
      </w:r>
      <w:r w:rsidRPr="0060351D">
        <w:rPr>
          <w:rFonts w:ascii="Arial" w:eastAsia="Times New Roman" w:hAnsi="Arial" w:cs="Arial"/>
          <w:sz w:val="24"/>
          <w:szCs w:val="24"/>
          <w:lang w:val="en-US"/>
        </w:rPr>
        <w:t xml:space="preserve"> </w:t>
      </w:r>
      <w:r>
        <w:rPr>
          <w:rFonts w:ascii="Arial" w:eastAsia="Times New Roman" w:hAnsi="Arial" w:cs="Arial"/>
          <w:sz w:val="24"/>
          <w:szCs w:val="24"/>
          <w:lang w:val="en-US"/>
        </w:rPr>
        <w:t>factors cannot be</w:t>
      </w:r>
      <w:r w:rsidRPr="0060351D">
        <w:rPr>
          <w:rFonts w:ascii="Arial" w:eastAsia="Times New Roman" w:hAnsi="Arial" w:cs="Arial"/>
          <w:sz w:val="24"/>
          <w:szCs w:val="24"/>
          <w:lang w:val="en-US"/>
        </w:rPr>
        <w:t xml:space="preserve"> addressed </w:t>
      </w:r>
      <w:r w:rsidR="009D644E">
        <w:rPr>
          <w:rFonts w:ascii="Arial" w:eastAsia="Times New Roman" w:hAnsi="Arial" w:cs="Arial"/>
          <w:sz w:val="24"/>
          <w:szCs w:val="24"/>
          <w:lang w:val="en-US"/>
        </w:rPr>
        <w:t xml:space="preserve">solely </w:t>
      </w:r>
      <w:r>
        <w:rPr>
          <w:rFonts w:ascii="Arial" w:eastAsia="Times New Roman" w:hAnsi="Arial" w:cs="Arial"/>
          <w:sz w:val="24"/>
          <w:szCs w:val="24"/>
          <w:lang w:val="en-US"/>
        </w:rPr>
        <w:t>through</w:t>
      </w:r>
      <w:r w:rsidRPr="0060351D">
        <w:rPr>
          <w:rFonts w:ascii="Arial" w:eastAsia="Times New Roman" w:hAnsi="Arial" w:cs="Arial"/>
          <w:sz w:val="24"/>
          <w:szCs w:val="24"/>
          <w:lang w:val="en-US"/>
        </w:rPr>
        <w:t xml:space="preserve"> the </w:t>
      </w:r>
      <w:r w:rsidR="009D644E">
        <w:rPr>
          <w:rFonts w:ascii="Arial" w:eastAsia="Times New Roman" w:hAnsi="Arial" w:cs="Arial"/>
          <w:sz w:val="24"/>
          <w:szCs w:val="24"/>
          <w:lang w:val="en-US"/>
        </w:rPr>
        <w:t>AWR</w:t>
      </w:r>
      <w:r w:rsidRPr="0060351D">
        <w:rPr>
          <w:rFonts w:ascii="Arial" w:eastAsia="Times New Roman" w:hAnsi="Arial" w:cs="Arial"/>
          <w:sz w:val="24"/>
          <w:szCs w:val="24"/>
          <w:lang w:val="en-US"/>
        </w:rPr>
        <w:t xml:space="preserve">, regular increases in minimum and award wages can nonetheless play an important role in helping to reduce gender pay inequality, particularly as the AWR directly affects a larger proportion of female employees. </w:t>
      </w:r>
    </w:p>
    <w:p w:rsidR="00D121E5" w:rsidRDefault="00D121E5">
      <w:pPr>
        <w:rPr>
          <w:rFonts w:asciiTheme="majorHAnsi" w:eastAsiaTheme="majorEastAsia" w:hAnsiTheme="majorHAnsi" w:cstheme="majorBidi"/>
          <w:b/>
          <w:bCs/>
          <w:sz w:val="32"/>
          <w:szCs w:val="28"/>
        </w:rPr>
      </w:pPr>
      <w:r>
        <w:br w:type="page"/>
      </w:r>
    </w:p>
    <w:p w:rsidR="001F726F" w:rsidRPr="0060351D" w:rsidRDefault="001F726F" w:rsidP="001F726F">
      <w:pPr>
        <w:pStyle w:val="Heading1"/>
      </w:pPr>
      <w:r w:rsidRPr="0060351D">
        <w:lastRenderedPageBreak/>
        <w:t>Conclusion</w:t>
      </w:r>
    </w:p>
    <w:p w:rsidR="001F726F" w:rsidRPr="0060351D" w:rsidRDefault="00C30865" w:rsidP="001F726F">
      <w:pPr>
        <w:pStyle w:val="ListParagraph"/>
        <w:numPr>
          <w:ilvl w:val="0"/>
          <w:numId w:val="25"/>
        </w:numPr>
        <w:spacing w:after="240" w:line="240" w:lineRule="auto"/>
        <w:ind w:left="567"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L</w:t>
      </w:r>
      <w:r w:rsidR="001F726F" w:rsidRPr="0060351D">
        <w:rPr>
          <w:rFonts w:ascii="Arial" w:eastAsia="Times New Roman" w:hAnsi="Arial" w:cs="Arial"/>
          <w:sz w:val="24"/>
          <w:szCs w:val="24"/>
          <w:lang w:val="en-US"/>
        </w:rPr>
        <w:t xml:space="preserve">abour market conditions in Australia have </w:t>
      </w:r>
      <w:r>
        <w:rPr>
          <w:rFonts w:ascii="Arial" w:eastAsia="Times New Roman" w:hAnsi="Arial" w:cs="Arial"/>
          <w:sz w:val="24"/>
          <w:szCs w:val="24"/>
          <w:lang w:val="en-US"/>
        </w:rPr>
        <w:t xml:space="preserve">remained favourable </w:t>
      </w:r>
      <w:r w:rsidR="001F726F" w:rsidRPr="0060351D">
        <w:rPr>
          <w:rFonts w:ascii="Arial" w:eastAsia="Times New Roman" w:hAnsi="Arial" w:cs="Arial"/>
          <w:sz w:val="24"/>
          <w:szCs w:val="24"/>
          <w:lang w:val="en-US"/>
        </w:rPr>
        <w:t xml:space="preserve">over the past year, underpinned by </w:t>
      </w:r>
      <w:r w:rsidR="009D644E">
        <w:rPr>
          <w:rFonts w:ascii="Arial" w:eastAsia="Times New Roman" w:hAnsi="Arial" w:cs="Arial"/>
          <w:sz w:val="24"/>
          <w:szCs w:val="24"/>
          <w:lang w:val="en-US"/>
        </w:rPr>
        <w:t>s</w:t>
      </w:r>
      <w:r w:rsidR="000D0504">
        <w:rPr>
          <w:rFonts w:ascii="Arial" w:eastAsia="Times New Roman" w:hAnsi="Arial" w:cs="Arial"/>
          <w:sz w:val="24"/>
          <w:szCs w:val="24"/>
          <w:lang w:val="en-US"/>
        </w:rPr>
        <w:t>teady</w:t>
      </w:r>
      <w:r w:rsidR="001F726F" w:rsidRPr="0060351D">
        <w:rPr>
          <w:rFonts w:ascii="Arial" w:eastAsia="Times New Roman" w:hAnsi="Arial" w:cs="Arial"/>
          <w:sz w:val="24"/>
          <w:szCs w:val="24"/>
          <w:lang w:val="en-US"/>
        </w:rPr>
        <w:t xml:space="preserve"> growth in </w:t>
      </w:r>
      <w:r w:rsidR="009D644E">
        <w:rPr>
          <w:rFonts w:ascii="Arial" w:eastAsia="Times New Roman" w:hAnsi="Arial" w:cs="Arial"/>
          <w:sz w:val="24"/>
          <w:szCs w:val="24"/>
          <w:lang w:val="en-US"/>
        </w:rPr>
        <w:t xml:space="preserve">total </w:t>
      </w:r>
      <w:r w:rsidR="001F726F" w:rsidRPr="0060351D">
        <w:rPr>
          <w:rFonts w:ascii="Arial" w:eastAsia="Times New Roman" w:hAnsi="Arial" w:cs="Arial"/>
          <w:sz w:val="24"/>
          <w:szCs w:val="24"/>
          <w:lang w:val="en-US"/>
        </w:rPr>
        <w:t>employment</w:t>
      </w:r>
      <w:r w:rsidR="009D644E">
        <w:rPr>
          <w:rFonts w:ascii="Arial" w:eastAsia="Times New Roman" w:hAnsi="Arial" w:cs="Arial"/>
          <w:sz w:val="24"/>
          <w:szCs w:val="24"/>
          <w:lang w:val="en-US"/>
        </w:rPr>
        <w:t>,</w:t>
      </w:r>
      <w:r w:rsidR="001F726F" w:rsidRPr="0060351D">
        <w:rPr>
          <w:rFonts w:ascii="Arial" w:eastAsia="Times New Roman" w:hAnsi="Arial" w:cs="Arial"/>
          <w:sz w:val="24"/>
          <w:szCs w:val="24"/>
          <w:lang w:val="en-US"/>
        </w:rPr>
        <w:t xml:space="preserve"> </w:t>
      </w:r>
      <w:r w:rsidR="009D644E">
        <w:rPr>
          <w:rFonts w:ascii="Arial" w:eastAsia="Times New Roman" w:hAnsi="Arial" w:cs="Arial"/>
          <w:sz w:val="24"/>
          <w:szCs w:val="24"/>
          <w:lang w:val="en-US"/>
        </w:rPr>
        <w:t xml:space="preserve">low unemployment and increased </w:t>
      </w:r>
      <w:r w:rsidR="00F324BA">
        <w:rPr>
          <w:rFonts w:ascii="Arial" w:eastAsia="Times New Roman" w:hAnsi="Arial" w:cs="Arial"/>
          <w:sz w:val="24"/>
          <w:szCs w:val="24"/>
          <w:lang w:val="en-US"/>
        </w:rPr>
        <w:t>workforce</w:t>
      </w:r>
      <w:r w:rsidR="001F726F" w:rsidRPr="0060351D">
        <w:rPr>
          <w:rFonts w:ascii="Arial" w:eastAsia="Times New Roman" w:hAnsi="Arial" w:cs="Arial"/>
          <w:sz w:val="24"/>
          <w:szCs w:val="24"/>
          <w:lang w:val="en-US"/>
        </w:rPr>
        <w:t xml:space="preserve"> participation.    </w:t>
      </w:r>
    </w:p>
    <w:p w:rsidR="00F63B93" w:rsidRPr="00B41DD7" w:rsidRDefault="001F726F" w:rsidP="00F63B93">
      <w:pPr>
        <w:pStyle w:val="ListParagraph"/>
        <w:numPr>
          <w:ilvl w:val="0"/>
          <w:numId w:val="25"/>
        </w:numPr>
        <w:spacing w:after="240" w:line="240" w:lineRule="auto"/>
        <w:ind w:left="567" w:hanging="567"/>
        <w:contextualSpacing w:val="0"/>
        <w:jc w:val="both"/>
        <w:rPr>
          <w:rFonts w:ascii="Arial" w:eastAsia="Times New Roman" w:hAnsi="Arial" w:cs="Arial"/>
          <w:b/>
          <w:sz w:val="24"/>
          <w:szCs w:val="24"/>
          <w:lang w:eastAsia="en-AU"/>
        </w:rPr>
      </w:pPr>
      <w:r w:rsidRPr="00B41DD7">
        <w:rPr>
          <w:rFonts w:ascii="Arial" w:eastAsia="Times New Roman" w:hAnsi="Arial" w:cs="Arial"/>
          <w:sz w:val="24"/>
          <w:szCs w:val="24"/>
          <w:lang w:val="en-US"/>
        </w:rPr>
        <w:t xml:space="preserve">The Western Australian Government </w:t>
      </w:r>
      <w:r w:rsidR="00F63B93" w:rsidRPr="00B41DD7">
        <w:rPr>
          <w:rFonts w:ascii="Arial" w:eastAsia="Times New Roman" w:hAnsi="Arial" w:cs="Arial"/>
          <w:sz w:val="24"/>
          <w:szCs w:val="24"/>
          <w:lang w:val="en-US"/>
        </w:rPr>
        <w:t>acknowledges the importance of the AWR in establishing the wage</w:t>
      </w:r>
      <w:r w:rsidR="00B41DD7" w:rsidRPr="00B41DD7">
        <w:rPr>
          <w:rFonts w:ascii="Arial" w:eastAsia="Times New Roman" w:hAnsi="Arial" w:cs="Arial"/>
          <w:sz w:val="24"/>
          <w:szCs w:val="24"/>
          <w:lang w:val="en-US"/>
        </w:rPr>
        <w:t>s</w:t>
      </w:r>
      <w:r w:rsidR="00F63B93" w:rsidRPr="00B41DD7">
        <w:rPr>
          <w:rFonts w:ascii="Arial" w:eastAsia="Times New Roman" w:hAnsi="Arial" w:cs="Arial"/>
          <w:sz w:val="24"/>
          <w:szCs w:val="24"/>
          <w:lang w:val="en-US"/>
        </w:rPr>
        <w:t xml:space="preserve"> safety net for workers in the national industrial relations system.  A robust framework of minimum and award wages is essential in supporting working Western Australians. </w:t>
      </w:r>
    </w:p>
    <w:p w:rsidR="001F726F" w:rsidRPr="00F63B93" w:rsidRDefault="001F726F" w:rsidP="001F726F">
      <w:pPr>
        <w:pStyle w:val="ListParagraph"/>
        <w:numPr>
          <w:ilvl w:val="0"/>
          <w:numId w:val="25"/>
        </w:numPr>
        <w:spacing w:after="240" w:line="240" w:lineRule="auto"/>
        <w:ind w:left="567" w:hanging="567"/>
        <w:contextualSpacing w:val="0"/>
        <w:jc w:val="both"/>
        <w:rPr>
          <w:rFonts w:ascii="Arial" w:eastAsia="Times New Roman" w:hAnsi="Arial" w:cs="Arial"/>
          <w:b/>
          <w:sz w:val="24"/>
          <w:szCs w:val="24"/>
          <w:lang w:eastAsia="en-AU"/>
        </w:rPr>
      </w:pPr>
      <w:r w:rsidRPr="0060351D">
        <w:rPr>
          <w:rFonts w:ascii="Arial" w:eastAsia="Times New Roman" w:hAnsi="Arial" w:cs="Arial"/>
          <w:sz w:val="24"/>
          <w:szCs w:val="24"/>
          <w:lang w:val="en-US"/>
        </w:rPr>
        <w:t xml:space="preserve">The Western Australian Government </w:t>
      </w:r>
      <w:r w:rsidRPr="00B23B23">
        <w:rPr>
          <w:rFonts w:ascii="Arial" w:eastAsia="Times New Roman" w:hAnsi="Arial" w:cs="Arial"/>
          <w:sz w:val="24"/>
          <w:szCs w:val="24"/>
          <w:lang w:val="en-US"/>
        </w:rPr>
        <w:t xml:space="preserve">encourages the Panel to award a fair </w:t>
      </w:r>
      <w:r w:rsidR="002F6576" w:rsidRPr="00B23B23">
        <w:rPr>
          <w:rFonts w:ascii="Arial" w:eastAsia="Times New Roman" w:hAnsi="Arial" w:cs="Arial"/>
          <w:sz w:val="24"/>
          <w:szCs w:val="24"/>
          <w:lang w:val="en-US"/>
        </w:rPr>
        <w:t xml:space="preserve">and equitable </w:t>
      </w:r>
      <w:r w:rsidRPr="00B23B23">
        <w:rPr>
          <w:rFonts w:ascii="Arial" w:eastAsia="Times New Roman" w:hAnsi="Arial" w:cs="Arial"/>
          <w:sz w:val="24"/>
          <w:szCs w:val="24"/>
          <w:lang w:val="en-US"/>
        </w:rPr>
        <w:t xml:space="preserve">wage increase that will help to protect the living standards of the low paid, and encourage their participation in the workforce. </w:t>
      </w:r>
      <w:r w:rsidR="00F63B93">
        <w:rPr>
          <w:rFonts w:ascii="Arial" w:eastAsia="Times New Roman" w:hAnsi="Arial" w:cs="Arial"/>
          <w:sz w:val="24"/>
          <w:szCs w:val="24"/>
          <w:lang w:val="en-US"/>
        </w:rPr>
        <w:t xml:space="preserve"> </w:t>
      </w:r>
      <w:r w:rsidRPr="00B23B23">
        <w:rPr>
          <w:rFonts w:ascii="Arial" w:eastAsia="Times New Roman" w:hAnsi="Arial" w:cs="Arial"/>
          <w:sz w:val="24"/>
          <w:szCs w:val="24"/>
          <w:lang w:val="en-US"/>
        </w:rPr>
        <w:t>Any increase should balance economic</w:t>
      </w:r>
      <w:r w:rsidR="00EC09CC" w:rsidRPr="00B23B23">
        <w:rPr>
          <w:rFonts w:ascii="Arial" w:eastAsia="Times New Roman" w:hAnsi="Arial" w:cs="Arial"/>
          <w:sz w:val="24"/>
          <w:szCs w:val="24"/>
          <w:lang w:val="en-US"/>
        </w:rPr>
        <w:t xml:space="preserve">, </w:t>
      </w:r>
      <w:r w:rsidRPr="00B23B23">
        <w:rPr>
          <w:rFonts w:ascii="Arial" w:eastAsia="Times New Roman" w:hAnsi="Arial" w:cs="Arial"/>
          <w:sz w:val="24"/>
          <w:szCs w:val="24"/>
          <w:lang w:val="en-US"/>
        </w:rPr>
        <w:t xml:space="preserve">social </w:t>
      </w:r>
      <w:r w:rsidR="00EC09CC" w:rsidRPr="00B23B23">
        <w:rPr>
          <w:rFonts w:ascii="Arial" w:eastAsia="Times New Roman" w:hAnsi="Arial" w:cs="Arial"/>
          <w:sz w:val="24"/>
          <w:szCs w:val="24"/>
          <w:lang w:val="en-US"/>
        </w:rPr>
        <w:t xml:space="preserve">and labour relations </w:t>
      </w:r>
      <w:r w:rsidR="00B23B23" w:rsidRPr="00B23B23">
        <w:rPr>
          <w:rFonts w:ascii="Arial" w:eastAsia="Times New Roman" w:hAnsi="Arial" w:cs="Arial"/>
          <w:sz w:val="24"/>
          <w:szCs w:val="24"/>
          <w:lang w:val="en-US"/>
        </w:rPr>
        <w:t>considerations</w:t>
      </w:r>
      <w:r w:rsidRPr="00B23B23">
        <w:rPr>
          <w:rFonts w:ascii="Arial" w:eastAsia="Times New Roman" w:hAnsi="Arial" w:cs="Arial"/>
          <w:sz w:val="24"/>
          <w:szCs w:val="24"/>
          <w:lang w:val="en-US"/>
        </w:rPr>
        <w:t xml:space="preserve"> in accordance with the objects of the Act.  </w:t>
      </w:r>
    </w:p>
    <w:p w:rsidR="00F63B93" w:rsidRPr="00F63B93" w:rsidRDefault="00F63B93" w:rsidP="00F63B93">
      <w:pPr>
        <w:spacing w:after="240" w:line="240" w:lineRule="auto"/>
        <w:jc w:val="both"/>
        <w:rPr>
          <w:rFonts w:ascii="Arial" w:eastAsia="Times New Roman" w:hAnsi="Arial" w:cs="Arial"/>
          <w:b/>
          <w:sz w:val="24"/>
          <w:szCs w:val="24"/>
          <w:lang w:eastAsia="en-AU"/>
        </w:rPr>
      </w:pPr>
    </w:p>
    <w:p w:rsidR="001F726F" w:rsidRDefault="001F726F" w:rsidP="001F726F">
      <w:pPr>
        <w:pStyle w:val="ListParagraph"/>
        <w:spacing w:after="240" w:line="240" w:lineRule="auto"/>
        <w:ind w:left="567" w:hanging="567"/>
        <w:contextualSpacing w:val="0"/>
        <w:rPr>
          <w:rFonts w:ascii="Arial" w:eastAsia="Times New Roman" w:hAnsi="Arial" w:cs="Arial"/>
          <w:b/>
          <w:sz w:val="24"/>
          <w:szCs w:val="24"/>
          <w:lang w:eastAsia="en-AU"/>
        </w:rPr>
      </w:pPr>
    </w:p>
    <w:p w:rsidR="001F726F" w:rsidRDefault="001F726F" w:rsidP="001F726F">
      <w:pPr>
        <w:tabs>
          <w:tab w:val="num" w:pos="600"/>
        </w:tabs>
        <w:spacing w:after="240" w:line="240" w:lineRule="auto"/>
        <w:jc w:val="both"/>
        <w:rPr>
          <w:rFonts w:ascii="Arial" w:eastAsia="Times New Roman" w:hAnsi="Arial" w:cs="Arial"/>
          <w:b/>
          <w:sz w:val="24"/>
          <w:szCs w:val="24"/>
          <w:lang w:eastAsia="en-AU"/>
        </w:rPr>
        <w:sectPr w:rsidR="001F726F" w:rsidSect="003E2EB4">
          <w:footerReference w:type="even" r:id="rId20"/>
          <w:footerReference w:type="default" r:id="rId21"/>
          <w:pgSz w:w="11906" w:h="16838" w:code="9"/>
          <w:pgMar w:top="1440" w:right="1274" w:bottom="1440" w:left="1080" w:header="709" w:footer="709" w:gutter="0"/>
          <w:pgNumType w:start="1"/>
          <w:cols w:space="708"/>
          <w:docGrid w:linePitch="360"/>
        </w:sectPr>
      </w:pPr>
    </w:p>
    <w:p w:rsidR="007371AD" w:rsidRPr="007371AD" w:rsidRDefault="007371AD" w:rsidP="007371AD">
      <w:pPr>
        <w:spacing w:after="0" w:line="240" w:lineRule="auto"/>
        <w:ind w:firstLine="30"/>
        <w:jc w:val="both"/>
        <w:rPr>
          <w:rFonts w:ascii="Arial" w:eastAsia="Times New Roman" w:hAnsi="Arial" w:cs="Arial"/>
          <w:b/>
          <w:sz w:val="24"/>
          <w:szCs w:val="24"/>
          <w:lang w:eastAsia="en-AU"/>
        </w:rPr>
      </w:pPr>
      <w:r w:rsidRPr="007371AD">
        <w:rPr>
          <w:rFonts w:ascii="Arial" w:eastAsia="Times New Roman" w:hAnsi="Arial" w:cs="Arial"/>
          <w:b/>
          <w:sz w:val="24"/>
          <w:szCs w:val="24"/>
          <w:lang w:eastAsia="en-AU"/>
        </w:rPr>
        <w:lastRenderedPageBreak/>
        <w:t xml:space="preserve">ATTACHMENT A </w:t>
      </w:r>
    </w:p>
    <w:p w:rsidR="007371AD" w:rsidRPr="007371AD" w:rsidRDefault="007371AD" w:rsidP="007371AD">
      <w:pPr>
        <w:spacing w:after="0" w:line="240" w:lineRule="auto"/>
        <w:ind w:left="30"/>
        <w:jc w:val="both"/>
        <w:rPr>
          <w:rFonts w:ascii="Arial" w:eastAsia="Times New Roman" w:hAnsi="Arial" w:cs="Arial"/>
          <w:b/>
          <w:sz w:val="40"/>
          <w:szCs w:val="40"/>
          <w:lang w:eastAsia="en-AU"/>
        </w:rPr>
      </w:pPr>
    </w:p>
    <w:p w:rsidR="007371AD" w:rsidRPr="007371AD" w:rsidRDefault="007371AD" w:rsidP="007371AD">
      <w:pPr>
        <w:spacing w:after="0" w:line="240" w:lineRule="auto"/>
        <w:ind w:left="30"/>
        <w:jc w:val="both"/>
        <w:rPr>
          <w:rFonts w:ascii="Arial" w:eastAsia="Times New Roman" w:hAnsi="Arial" w:cs="Arial"/>
          <w:b/>
          <w:sz w:val="40"/>
          <w:szCs w:val="40"/>
          <w:lang w:eastAsia="en-AU"/>
        </w:rPr>
      </w:pPr>
    </w:p>
    <w:p w:rsidR="007371AD" w:rsidRPr="007371AD" w:rsidRDefault="007371AD" w:rsidP="007371AD">
      <w:pPr>
        <w:spacing w:after="0" w:line="240" w:lineRule="auto"/>
        <w:ind w:left="30"/>
        <w:jc w:val="both"/>
        <w:rPr>
          <w:rFonts w:ascii="Arial" w:eastAsia="Times New Roman" w:hAnsi="Arial" w:cs="Arial"/>
          <w:b/>
          <w:sz w:val="32"/>
          <w:szCs w:val="32"/>
          <w:lang w:eastAsia="en-AU"/>
        </w:rPr>
      </w:pPr>
      <w:r w:rsidRPr="007371AD">
        <w:rPr>
          <w:rFonts w:ascii="Arial" w:eastAsia="Times New Roman" w:hAnsi="Arial" w:cs="Arial"/>
          <w:b/>
          <w:sz w:val="32"/>
          <w:szCs w:val="32"/>
          <w:lang w:eastAsia="en-AU"/>
        </w:rPr>
        <w:t>State Economic Conditions</w:t>
      </w:r>
    </w:p>
    <w:p w:rsidR="007371AD" w:rsidRPr="007371AD" w:rsidRDefault="007371AD" w:rsidP="007371AD">
      <w:pPr>
        <w:keepNext/>
        <w:spacing w:before="240" w:after="60" w:line="360" w:lineRule="auto"/>
        <w:jc w:val="both"/>
        <w:outlineLvl w:val="0"/>
        <w:rPr>
          <w:rFonts w:ascii="Arial" w:eastAsia="Times New Roman" w:hAnsi="Arial" w:cs="Arial"/>
          <w:b/>
          <w:bCs/>
          <w:kern w:val="32"/>
          <w:sz w:val="32"/>
          <w:szCs w:val="32"/>
          <w:highlight w:val="yellow"/>
          <w:lang w:val="en-GB"/>
        </w:rPr>
      </w:pPr>
      <w:r w:rsidRPr="007371AD">
        <w:rPr>
          <w:rFonts w:ascii="Arial" w:eastAsia="Times New Roman" w:hAnsi="Arial" w:cs="Arial"/>
          <w:b/>
          <w:bCs/>
          <w:kern w:val="32"/>
          <w:sz w:val="32"/>
          <w:szCs w:val="32"/>
          <w:lang w:val="en-GB"/>
        </w:rPr>
        <w:t>SUMMARY</w:t>
      </w: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 xml:space="preserve">The Western Australian economy (as measured by Gross State Product, GSP) grew by 1.9% in 2017-18, reversing a contraction of 1.8% in 2016-17. Economic activity was heavily impacted by the timing of spending on major LNG projects, and partly supported by moderate growth in household consumption. </w:t>
      </w:r>
    </w:p>
    <w:p w:rsidR="007371AD" w:rsidRPr="007371AD" w:rsidRDefault="007371AD" w:rsidP="007371AD">
      <w:pPr>
        <w:spacing w:after="0" w:line="240" w:lineRule="auto"/>
        <w:jc w:val="both"/>
        <w:rPr>
          <w:rFonts w:ascii="Arial" w:eastAsia="Times New Roman" w:hAnsi="Arial" w:cs="Arial"/>
          <w:spacing w:val="-2"/>
          <w:sz w:val="24"/>
          <w:szCs w:val="24"/>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The recovery in the overall economy is expected to continue, with GSP growth of 3% forecast for 2018-19, supported by an expansion in net exports. Western Australian iron ore exports continued to expand in 2018, but at a much slower rate than in recent years, as major producers have mostly completed construction of new mines and expansions. Exports are expected to grow by 7% in 2018-19, underpinned by growth in LNG, gold, lithium and iron ore export volumes.</w:t>
      </w: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After expanding for the first time five years in 2017-18 (by 1.0%), Western Australia’s domestic economy, as measured by State Final Demand (SFD), is expected to contract by 0.5% in 2018-19. This contraction reflects an expected fall in business investment as a result of the completion of work on major LNG projects. Consumer spending has been weak, with household caution reflected in the household savings rate remaining at close to peak levels, suggesting that households are focussed on paying down debt. The State’s population growth is also expected to remain modest at 1.2% in 2018-19, with natural increase continuing to be the largest contributor to growth.</w:t>
      </w: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 xml:space="preserve">Employment expanded by 1.3% in the year to January 2019. Notwithstanding this, there remains significant spare capacity in the labour market. The unemployment rate averaged 6.3% in the year to January 2019 and the underutilisation rate is at 15.7% over the same period. Reflecting this, wage growth remains soft at just 1.5% in 2018 (compared to long run trend growth of 3.4%). Inflation for Perth has also been weaker than in the other State capital cities. The annual average increase of 1.1% in the Consumer Price Index was just over half of that recorded nationally in December 2018. </w:t>
      </w:r>
    </w:p>
    <w:p w:rsidR="007371AD" w:rsidRPr="007371AD" w:rsidRDefault="007371AD" w:rsidP="007371AD">
      <w:pPr>
        <w:spacing w:after="0" w:line="240" w:lineRule="auto"/>
        <w:jc w:val="both"/>
        <w:rPr>
          <w:rFonts w:ascii="Arial" w:eastAsia="Times New Roman" w:hAnsi="Arial" w:cs="Arial"/>
          <w:spacing w:val="-2"/>
          <w:sz w:val="24"/>
          <w:szCs w:val="24"/>
          <w:lang w:eastAsia="en-AU"/>
        </w:rPr>
      </w:pPr>
    </w:p>
    <w:p w:rsidR="007371AD" w:rsidRPr="007371AD" w:rsidRDefault="007371AD" w:rsidP="007371AD">
      <w:pPr>
        <w:spacing w:after="0" w:line="240" w:lineRule="auto"/>
        <w:jc w:val="both"/>
        <w:rPr>
          <w:rFonts w:ascii="Arial" w:eastAsia="Times New Roman" w:hAnsi="Arial" w:cs="Arial"/>
          <w:color w:val="000000"/>
          <w:spacing w:val="-2"/>
          <w:sz w:val="24"/>
          <w:szCs w:val="24"/>
          <w:lang w:eastAsia="en-AU"/>
        </w:rPr>
      </w:pPr>
      <w:r w:rsidRPr="007371AD">
        <w:rPr>
          <w:rFonts w:ascii="Arial" w:eastAsia="Times New Roman" w:hAnsi="Arial" w:cs="Arial"/>
          <w:spacing w:val="-2"/>
          <w:sz w:val="24"/>
          <w:szCs w:val="24"/>
          <w:lang w:eastAsia="en-AU"/>
        </w:rPr>
        <w:t xml:space="preserve">Looking forward, the labour market, population, income and wages are all expected to gradually lift, as consumer and business confidence strengthens and Western Australia’s performance equalises with the National economy. </w:t>
      </w:r>
      <w:r w:rsidRPr="007371AD">
        <w:rPr>
          <w:rFonts w:ascii="Arial" w:eastAsia="Times New Roman" w:hAnsi="Arial" w:cs="Arial"/>
          <w:color w:val="000000"/>
          <w:spacing w:val="-2"/>
          <w:sz w:val="24"/>
          <w:szCs w:val="24"/>
          <w:lang w:eastAsia="en-AU"/>
        </w:rPr>
        <w:t>Notwithstanding this, there are a number of potential risks that may impact the State’s economic outlook over the next few years.</w:t>
      </w: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The outlook for dwelling investment and the established residential housing market could be more subdued than anticipated if population and income growth are weaker than expected. Further increases in home loan rates independent of changes to the official cash rate and any additional tightening of residential lending</w:t>
      </w:r>
      <w:bookmarkStart w:id="0" w:name="_GoBack"/>
      <w:bookmarkEnd w:id="0"/>
      <w:r w:rsidRPr="007371AD">
        <w:rPr>
          <w:rFonts w:ascii="Arial" w:eastAsia="Times New Roman" w:hAnsi="Arial" w:cs="Arial"/>
          <w:spacing w:val="-2"/>
          <w:sz w:val="24"/>
          <w:szCs w:val="24"/>
          <w:lang w:eastAsia="en-AU"/>
        </w:rPr>
        <w:t xml:space="preserve"> criteria could also weaken overall demand in the property sector. </w:t>
      </w:r>
    </w:p>
    <w:p w:rsidR="007371AD" w:rsidRPr="007371AD" w:rsidRDefault="007371AD" w:rsidP="007371AD">
      <w:pPr>
        <w:spacing w:after="0" w:line="240" w:lineRule="auto"/>
        <w:jc w:val="both"/>
        <w:rPr>
          <w:rFonts w:ascii="Arial" w:eastAsia="Times New Roman" w:hAnsi="Arial" w:cs="Arial"/>
          <w:spacing w:val="-2"/>
          <w:sz w:val="24"/>
          <w:szCs w:val="24"/>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lastRenderedPageBreak/>
        <w:t>The near term business investment forecast is particularly sensitive to the continued wind down in expenditure on major LNG projects. Any delays to the commissioning and subsequent ramp up of the LNG projects has flow on implications to merchandise export growth, which could also be lower than forecast. Changes to the profile of investment and exports may also impact the outlook for the State’s economic growth and labour demand.</w:t>
      </w:r>
    </w:p>
    <w:p w:rsidR="007371AD" w:rsidRPr="007371AD" w:rsidRDefault="007371AD" w:rsidP="007371AD">
      <w:pPr>
        <w:spacing w:after="0" w:line="240" w:lineRule="auto"/>
        <w:jc w:val="both"/>
        <w:rPr>
          <w:rFonts w:ascii="Arial" w:eastAsia="Times New Roman" w:hAnsi="Arial" w:cs="Arial"/>
          <w:spacing w:val="-2"/>
          <w:sz w:val="24"/>
          <w:szCs w:val="24"/>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 xml:space="preserve">The timing around the expected recovery in household consumption is still unclear, and any further weakening in the outlook may delay households returning to more normal rates of spending. On the other hand, households have been achieving solid rates of saving (the highest of all States), and there may be a point at which households decide they have tightened their belts and repaired their balance sheets enough. Given projected improvements in the overall economy, labour market and incomes, a change in sentiment and behaviour could result in consumption rebounding more strongly than anticipated. </w:t>
      </w: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p>
    <w:p w:rsidR="007371AD" w:rsidRPr="007371AD" w:rsidRDefault="007371AD" w:rsidP="007371AD">
      <w:pPr>
        <w:keepLines/>
        <w:spacing w:after="0" w:line="280" w:lineRule="exact"/>
        <w:jc w:val="both"/>
        <w:rPr>
          <w:rFonts w:ascii="Arial" w:eastAsia="Times New Roman" w:hAnsi="Arial" w:cs="Arial"/>
          <w:color w:val="000000"/>
          <w:spacing w:val="-2"/>
          <w:sz w:val="24"/>
          <w:szCs w:val="24"/>
          <w:lang w:eastAsia="en-AU"/>
        </w:rPr>
      </w:pPr>
      <w:r w:rsidRPr="007371AD">
        <w:rPr>
          <w:rFonts w:ascii="Arial" w:eastAsia="Times New Roman" w:hAnsi="Arial" w:cs="Arial"/>
          <w:color w:val="000000"/>
          <w:spacing w:val="-2"/>
          <w:sz w:val="24"/>
          <w:szCs w:val="24"/>
          <w:lang w:eastAsia="en-AU"/>
        </w:rPr>
        <w:t>Global risks relevant to Western Australia mainly relate to conditions in China, which is by far the State’s most important trading partner and an increasingly important source of foreign investment. Trade tensions between the US and China pose some risk to the Western Australian economy.</w:t>
      </w:r>
    </w:p>
    <w:p w:rsidR="007371AD" w:rsidRPr="007371AD" w:rsidRDefault="007371AD" w:rsidP="007371AD">
      <w:pPr>
        <w:keepLines/>
        <w:spacing w:after="0" w:line="280" w:lineRule="exact"/>
        <w:jc w:val="both"/>
        <w:rPr>
          <w:rFonts w:ascii="Arial" w:eastAsia="Times New Roman" w:hAnsi="Arial" w:cs="Arial"/>
          <w:color w:val="000000"/>
          <w:spacing w:val="-2"/>
          <w:sz w:val="24"/>
          <w:szCs w:val="24"/>
          <w:highlight w:val="yellow"/>
          <w:lang w:eastAsia="en-AU"/>
        </w:rPr>
      </w:pPr>
    </w:p>
    <w:p w:rsidR="007371AD" w:rsidRPr="007371AD" w:rsidRDefault="007371AD" w:rsidP="007371AD">
      <w:pPr>
        <w:keepLines/>
        <w:spacing w:after="0" w:line="280" w:lineRule="exact"/>
        <w:jc w:val="both"/>
        <w:rPr>
          <w:rFonts w:ascii="Arial" w:eastAsia="Times New Roman" w:hAnsi="Arial" w:cs="Arial"/>
          <w:color w:val="000000"/>
          <w:spacing w:val="-2"/>
          <w:sz w:val="24"/>
          <w:szCs w:val="24"/>
          <w:lang w:eastAsia="en-AU"/>
        </w:rPr>
      </w:pPr>
      <w:r w:rsidRPr="007371AD">
        <w:rPr>
          <w:rFonts w:ascii="Arial" w:eastAsia="Times New Roman" w:hAnsi="Arial" w:cs="Arial"/>
          <w:color w:val="000000"/>
          <w:spacing w:val="-2"/>
          <w:sz w:val="24"/>
          <w:szCs w:val="24"/>
          <w:lang w:eastAsia="en-AU"/>
        </w:rPr>
        <w:t xml:space="preserve">Importantly, however, the direct impact on Western Australia’s exports is likely to be very small as most of the State’s exports to China are consumed domestically. For example, the State’s most important export to China by value is iron ore, which is transformed into steel. In 2017, China only exported 8% of its steel production, most of which went to other Asian countries such as Korea, Vietnam and the Philippines, and only 0.1% went to the US. </w:t>
      </w:r>
    </w:p>
    <w:p w:rsidR="007371AD" w:rsidRPr="007371AD" w:rsidRDefault="007371AD" w:rsidP="007371AD">
      <w:pPr>
        <w:keepLines/>
        <w:spacing w:after="0" w:line="280" w:lineRule="exact"/>
        <w:jc w:val="both"/>
        <w:rPr>
          <w:rFonts w:ascii="Arial" w:eastAsia="Times New Roman" w:hAnsi="Arial" w:cs="Arial"/>
          <w:color w:val="000000"/>
          <w:spacing w:val="-2"/>
          <w:sz w:val="24"/>
          <w:szCs w:val="24"/>
          <w:highlight w:val="yellow"/>
          <w:lang w:eastAsia="en-AU"/>
        </w:rPr>
      </w:pPr>
    </w:p>
    <w:p w:rsidR="007371AD" w:rsidRPr="007371AD" w:rsidRDefault="007371AD" w:rsidP="007371AD">
      <w:pPr>
        <w:keepLines/>
        <w:spacing w:after="0" w:line="280" w:lineRule="exact"/>
        <w:jc w:val="both"/>
        <w:rPr>
          <w:rFonts w:ascii="Arial" w:eastAsia="Times New Roman" w:hAnsi="Arial" w:cs="Arial"/>
          <w:color w:val="000000"/>
          <w:spacing w:val="-2"/>
          <w:sz w:val="24"/>
          <w:szCs w:val="24"/>
          <w:lang w:eastAsia="en-AU"/>
        </w:rPr>
      </w:pPr>
      <w:r w:rsidRPr="007371AD">
        <w:rPr>
          <w:rFonts w:ascii="Arial" w:eastAsia="Times New Roman" w:hAnsi="Arial" w:cs="Arial"/>
          <w:color w:val="000000"/>
          <w:spacing w:val="-2"/>
          <w:sz w:val="24"/>
          <w:szCs w:val="24"/>
          <w:lang w:eastAsia="en-AU"/>
        </w:rPr>
        <w:t>Movements in the prices for the commodities most relevant to Western Australia so far in 2018-19 have varied, with rises in iron ore, oil, LNG and alumina but declines in gold, copper, nickel and zinc.</w:t>
      </w:r>
    </w:p>
    <w:p w:rsidR="007371AD" w:rsidRPr="007371AD" w:rsidRDefault="007371AD" w:rsidP="007371AD">
      <w:pPr>
        <w:keepLines/>
        <w:spacing w:after="0" w:line="280" w:lineRule="exact"/>
        <w:jc w:val="both"/>
        <w:rPr>
          <w:rFonts w:ascii="Arial" w:eastAsia="Times New Roman" w:hAnsi="Arial" w:cs="Arial"/>
          <w:color w:val="000000"/>
          <w:spacing w:val="-2"/>
          <w:sz w:val="24"/>
          <w:szCs w:val="24"/>
          <w:lang w:eastAsia="en-AU"/>
        </w:rPr>
      </w:pPr>
    </w:p>
    <w:p w:rsidR="007371AD" w:rsidRPr="007371AD" w:rsidRDefault="007371AD" w:rsidP="007371AD">
      <w:pPr>
        <w:keepLines/>
        <w:spacing w:after="0" w:line="280" w:lineRule="exact"/>
        <w:jc w:val="both"/>
        <w:rPr>
          <w:rFonts w:ascii="Arial" w:eastAsia="Times New Roman" w:hAnsi="Arial" w:cs="Arial"/>
          <w:color w:val="000000"/>
          <w:spacing w:val="-2"/>
          <w:sz w:val="24"/>
          <w:szCs w:val="24"/>
          <w:lang w:eastAsia="en-AU"/>
        </w:rPr>
      </w:pPr>
      <w:r w:rsidRPr="007371AD">
        <w:rPr>
          <w:rFonts w:ascii="Arial" w:eastAsia="Times New Roman" w:hAnsi="Arial" w:cs="Arial"/>
          <w:color w:val="000000"/>
          <w:spacing w:val="-2"/>
          <w:sz w:val="24"/>
          <w:szCs w:val="24"/>
          <w:lang w:eastAsia="en-AU"/>
        </w:rPr>
        <w:t xml:space="preserve">There is a risk that relatively solid economic growth over 2018 in China, which directly impacts royalty income from the sale of iron ore, will lose momentum over the course of 2019. Risks primarily relate to uncertainties regarding the impact of trade disputes with the US and increasingly negative sentiment regarding the property market in China. </w:t>
      </w:r>
    </w:p>
    <w:p w:rsidR="007371AD" w:rsidRPr="007371AD" w:rsidRDefault="007371AD" w:rsidP="007371AD">
      <w:pPr>
        <w:keepLines/>
        <w:spacing w:after="0" w:line="280" w:lineRule="exact"/>
        <w:jc w:val="both"/>
        <w:rPr>
          <w:rFonts w:ascii="Arial" w:eastAsia="Times New Roman" w:hAnsi="Arial" w:cs="Arial"/>
          <w:color w:val="000000"/>
          <w:spacing w:val="-2"/>
          <w:sz w:val="24"/>
          <w:szCs w:val="24"/>
          <w:lang w:eastAsia="en-AU"/>
        </w:rPr>
      </w:pPr>
    </w:p>
    <w:p w:rsidR="007371AD" w:rsidRPr="007371AD" w:rsidRDefault="007371AD" w:rsidP="007371AD">
      <w:pPr>
        <w:keepLines/>
        <w:spacing w:after="0" w:line="280" w:lineRule="exact"/>
        <w:jc w:val="both"/>
        <w:rPr>
          <w:rFonts w:ascii="Arial" w:eastAsia="Times New Roman" w:hAnsi="Arial" w:cs="Arial"/>
          <w:color w:val="000000"/>
          <w:spacing w:val="-2"/>
          <w:sz w:val="24"/>
          <w:szCs w:val="24"/>
          <w:highlight w:val="yellow"/>
          <w:lang w:eastAsia="en-AU"/>
        </w:rPr>
      </w:pPr>
      <w:r w:rsidRPr="007371AD">
        <w:rPr>
          <w:rFonts w:ascii="Arial" w:eastAsia="Times New Roman" w:hAnsi="Arial" w:cs="Arial"/>
          <w:color w:val="000000"/>
          <w:spacing w:val="-2"/>
          <w:sz w:val="24"/>
          <w:szCs w:val="24"/>
          <w:lang w:eastAsia="en-AU"/>
        </w:rPr>
        <w:t>The price of oil is important for mining revenue as most petroleum products, including LNG, are priced relative to crude oil benchmarks. Risks to these price projections relate to uncertainty about demand, for example a potential slowdown in global growth, and supply, particularly from Russia, Saudi Arabia and the US.</w:t>
      </w: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Further details on key parts of the State’s economy follow.</w:t>
      </w:r>
    </w:p>
    <w:p w:rsidR="007371AD" w:rsidRPr="007371AD" w:rsidRDefault="007371AD" w:rsidP="007371AD">
      <w:pPr>
        <w:keepNext/>
        <w:spacing w:before="240" w:after="60" w:line="240" w:lineRule="auto"/>
        <w:jc w:val="both"/>
        <w:outlineLvl w:val="0"/>
        <w:rPr>
          <w:rFonts w:ascii="Arial" w:eastAsia="Times New Roman" w:hAnsi="Arial" w:cs="Arial"/>
          <w:b/>
          <w:bCs/>
          <w:kern w:val="32"/>
          <w:sz w:val="32"/>
          <w:szCs w:val="32"/>
          <w:lang w:val="en-GB"/>
        </w:rPr>
      </w:pPr>
      <w:r w:rsidRPr="007371AD">
        <w:rPr>
          <w:rFonts w:ascii="Arial" w:eastAsia="Times New Roman" w:hAnsi="Arial" w:cs="Arial"/>
          <w:b/>
          <w:bCs/>
          <w:kern w:val="32"/>
          <w:sz w:val="32"/>
          <w:szCs w:val="32"/>
          <w:highlight w:val="yellow"/>
          <w:lang w:val="en-GB"/>
        </w:rPr>
        <w:br w:type="page"/>
      </w:r>
      <w:r w:rsidRPr="007371AD">
        <w:rPr>
          <w:rFonts w:ascii="Arial" w:eastAsia="Times New Roman" w:hAnsi="Arial" w:cs="Arial"/>
          <w:b/>
          <w:bCs/>
          <w:kern w:val="32"/>
          <w:sz w:val="32"/>
          <w:szCs w:val="32"/>
          <w:lang w:val="en-GB"/>
        </w:rPr>
        <w:lastRenderedPageBreak/>
        <w:t>NATIONAL ACCOUNTS DATA</w:t>
      </w: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The latest estimate of GSP (released by the Australian Bureau of Statistics (ABS) in November 2018) shows that Western Australia’s economy grew by 1.9% in 2017-18. The return to growth in the overall economy was coupled with an increase in the domestic economy for the first time since 2012-13. Growth in SFD was largely due to ongoing work on large LNG projects.</w:t>
      </w: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The composition of GSP growth in 2017-18 illustrates the economy’s transition from investment</w:t>
      </w:r>
      <w:r w:rsidRPr="007371AD">
        <w:rPr>
          <w:rFonts w:ascii="Arial" w:eastAsia="Times New Roman" w:hAnsi="Arial" w:cs="Arial"/>
          <w:spacing w:val="-2"/>
          <w:sz w:val="24"/>
          <w:szCs w:val="24"/>
          <w:lang w:eastAsia="en-AU"/>
        </w:rPr>
        <w:noBreakHyphen/>
        <w:t>led to export</w:t>
      </w:r>
      <w:r w:rsidRPr="007371AD">
        <w:rPr>
          <w:rFonts w:ascii="Arial" w:eastAsia="Times New Roman" w:hAnsi="Arial" w:cs="Arial"/>
          <w:spacing w:val="-2"/>
          <w:sz w:val="24"/>
          <w:szCs w:val="24"/>
          <w:lang w:eastAsia="en-AU"/>
        </w:rPr>
        <w:noBreakHyphen/>
        <w:t>driven growth, which is expected to continue until 2018-19 as construction on the State’s large resource projects is completed. Following forecast growth of 3.5% in 2019-20, the overall economy is expected to grow at 3% per annum from 2020</w:t>
      </w:r>
      <w:r w:rsidRPr="007371AD">
        <w:rPr>
          <w:rFonts w:ascii="Arial" w:eastAsia="Times New Roman" w:hAnsi="Arial" w:cs="Arial"/>
          <w:spacing w:val="-2"/>
          <w:sz w:val="24"/>
          <w:szCs w:val="24"/>
          <w:lang w:eastAsia="en-AU"/>
        </w:rPr>
        <w:noBreakHyphen/>
        <w:t>21, slightly below long run average growth, as investment activity maintains rather than expands production levels and hence exports.</w:t>
      </w: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r w:rsidRPr="007371AD">
        <w:rPr>
          <w:rFonts w:ascii="Arial" w:eastAsia="Times New Roman" w:hAnsi="Arial" w:cs="Arial"/>
          <w:spacing w:val="-2"/>
          <w:sz w:val="24"/>
          <w:szCs w:val="24"/>
          <w:lang w:eastAsia="en-AU"/>
        </w:rPr>
        <w:t>On an industry basis, the main contributor of Western Australia’s GSP growth in 2017-18 was ‘mining’, and ‘health care and social assistance’, while ‘agriculture, forestry and fishing’ was the largest detractor. Of note, ‘construction’ contributed to GSP growth, for the first time since 2013-14.</w:t>
      </w: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Abstracting from net exports, domestic economic activity expanded (by 1.0%) in 2017</w:t>
      </w:r>
      <w:r w:rsidRPr="007371AD">
        <w:rPr>
          <w:rFonts w:ascii="Arial" w:eastAsia="Times New Roman" w:hAnsi="Arial" w:cs="Arial"/>
          <w:spacing w:val="-2"/>
          <w:sz w:val="24"/>
          <w:szCs w:val="24"/>
          <w:lang w:eastAsia="en-AU"/>
        </w:rPr>
        <w:noBreakHyphen/>
        <w:t>18 (based on latest ABS National Accounts for the December quarter 2018), following four years of contraction. Growth in SFD was largely the result of the timing of investment on a number of LNG projects which helped sustain business investment at 2016-17 levels. SFD is expected to decline in 2018-19, as a result of a fall in business investment due to the completion of work on major LNG projects. Western Australia's SFD declined by 0.3% in the December quarter and in annual average terms fell by 0.5% in 2018, in line with a fall of 0.5% in 2018-19 forecast at Mid-year Review.</w:t>
      </w: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p>
    <w:p w:rsidR="007371AD" w:rsidRPr="007371AD" w:rsidRDefault="007371AD" w:rsidP="007371AD">
      <w:pPr>
        <w:spacing w:after="0" w:line="240" w:lineRule="auto"/>
        <w:jc w:val="center"/>
        <w:rPr>
          <w:rFonts w:ascii="Arial" w:eastAsia="Times New Roman" w:hAnsi="Arial" w:cs="Arial"/>
          <w:sz w:val="24"/>
          <w:szCs w:val="24"/>
          <w:lang w:eastAsia="en-AU"/>
        </w:rPr>
      </w:pPr>
      <w:r w:rsidRPr="007371AD">
        <w:rPr>
          <w:rFonts w:ascii="Arial" w:eastAsia="Times New Roman" w:hAnsi="Arial" w:cs="Arial"/>
          <w:sz w:val="24"/>
          <w:szCs w:val="24"/>
          <w:lang w:eastAsia="en-AU"/>
        </w:rPr>
        <w:t xml:space="preserve"> </w:t>
      </w:r>
      <w:r w:rsidRPr="007371AD">
        <w:rPr>
          <w:noProof/>
          <w:lang w:eastAsia="en-AU"/>
        </w:rPr>
        <w:drawing>
          <wp:inline distT="0" distB="0" distL="0" distR="0" wp14:anchorId="6BDEFBB6" wp14:editId="646B6655">
            <wp:extent cx="4001135" cy="2165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1135" cy="2165350"/>
                    </a:xfrm>
                    <a:prstGeom prst="rect">
                      <a:avLst/>
                    </a:prstGeom>
                    <a:noFill/>
                    <a:ln>
                      <a:noFill/>
                    </a:ln>
                  </pic:spPr>
                </pic:pic>
              </a:graphicData>
            </a:graphic>
          </wp:inline>
        </w:drawing>
      </w:r>
    </w:p>
    <w:p w:rsidR="007371AD" w:rsidRPr="007371AD" w:rsidRDefault="007371AD" w:rsidP="007371AD">
      <w:pPr>
        <w:spacing w:after="0" w:line="240" w:lineRule="auto"/>
        <w:ind w:left="284" w:firstLine="1276"/>
        <w:rPr>
          <w:rFonts w:ascii="Arial" w:eastAsia="Times New Roman" w:hAnsi="Arial" w:cs="Arial"/>
          <w:sz w:val="24"/>
          <w:szCs w:val="24"/>
          <w:lang w:eastAsia="en-AU"/>
        </w:rPr>
      </w:pPr>
      <w:r w:rsidRPr="007371AD">
        <w:rPr>
          <w:rFonts w:ascii="Arial" w:eastAsia="Times New Roman" w:hAnsi="Arial" w:cs="Arial"/>
          <w:sz w:val="24"/>
          <w:szCs w:val="24"/>
          <w:vertAlign w:val="superscript"/>
          <w:lang w:eastAsia="en-AU"/>
        </w:rPr>
        <w:t>1</w:t>
      </w:r>
      <w:r w:rsidRPr="007371AD">
        <w:rPr>
          <w:rFonts w:ascii="Arial" w:eastAsia="Times New Roman" w:hAnsi="Arial" w:cs="Arial"/>
          <w:sz w:val="24"/>
          <w:szCs w:val="24"/>
          <w:lang w:eastAsia="en-AU"/>
        </w:rPr>
        <w:t xml:space="preserve"> </w:t>
      </w:r>
      <w:r w:rsidRPr="007371AD">
        <w:rPr>
          <w:rFonts w:ascii="Arial" w:eastAsia="Times New Roman" w:hAnsi="Arial" w:cs="Arial"/>
          <w:sz w:val="20"/>
          <w:szCs w:val="24"/>
          <w:lang w:eastAsia="en-AU"/>
        </w:rPr>
        <w:t>Exports refers to merchandise exports (goods) and service exports</w:t>
      </w:r>
    </w:p>
    <w:p w:rsidR="007371AD" w:rsidRPr="007371AD" w:rsidRDefault="007371AD" w:rsidP="007371AD">
      <w:pPr>
        <w:spacing w:after="0" w:line="240" w:lineRule="auto"/>
        <w:ind w:left="284" w:firstLine="1276"/>
        <w:jc w:val="both"/>
        <w:rPr>
          <w:rFonts w:ascii="Arial" w:eastAsia="Times New Roman" w:hAnsi="Arial" w:cs="Arial"/>
          <w:spacing w:val="-2"/>
          <w:sz w:val="20"/>
          <w:szCs w:val="24"/>
          <w:lang w:eastAsia="en-AU"/>
        </w:rPr>
      </w:pPr>
      <w:r w:rsidRPr="007371AD">
        <w:rPr>
          <w:rFonts w:ascii="Arial" w:eastAsia="Times New Roman" w:hAnsi="Arial" w:cs="Arial"/>
          <w:spacing w:val="-2"/>
          <w:sz w:val="20"/>
          <w:szCs w:val="24"/>
          <w:lang w:eastAsia="en-AU"/>
        </w:rPr>
        <w:t xml:space="preserve">   Source: ABS Catalogue 5206.0 and 5302.0. </w:t>
      </w:r>
    </w:p>
    <w:p w:rsidR="007371AD" w:rsidRPr="007371AD" w:rsidRDefault="007371AD" w:rsidP="007371AD">
      <w:pPr>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br w:type="page"/>
      </w: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noProof/>
          <w:lang w:eastAsia="en-AU"/>
        </w:rPr>
        <w:lastRenderedPageBreak/>
        <w:drawing>
          <wp:anchor distT="0" distB="0" distL="114300" distR="114300" simplePos="0" relativeHeight="251659264" behindDoc="0" locked="0" layoutInCell="1" allowOverlap="1" wp14:anchorId="0741B668" wp14:editId="7EFF59FE">
            <wp:simplePos x="0" y="0"/>
            <wp:positionH relativeFrom="column">
              <wp:posOffset>3019425</wp:posOffset>
            </wp:positionH>
            <wp:positionV relativeFrom="paragraph">
              <wp:posOffset>86360</wp:posOffset>
            </wp:positionV>
            <wp:extent cx="3096260" cy="276479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96260" cy="2764790"/>
                    </a:xfrm>
                    <a:prstGeom prst="rect">
                      <a:avLst/>
                    </a:prstGeom>
                    <a:noFill/>
                  </pic:spPr>
                </pic:pic>
              </a:graphicData>
            </a:graphic>
            <wp14:sizeRelH relativeFrom="page">
              <wp14:pctWidth>0</wp14:pctWidth>
            </wp14:sizeRelH>
            <wp14:sizeRelV relativeFrom="page">
              <wp14:pctHeight>0</wp14:pctHeight>
            </wp14:sizeRelV>
          </wp:anchor>
        </w:drawing>
      </w:r>
      <w:r w:rsidRPr="007371AD">
        <w:rPr>
          <w:rFonts w:ascii="Arial" w:eastAsia="Times New Roman" w:hAnsi="Arial" w:cs="Arial"/>
          <w:spacing w:val="-2"/>
          <w:sz w:val="24"/>
          <w:szCs w:val="24"/>
          <w:lang w:eastAsia="en-AU"/>
        </w:rPr>
        <w:t xml:space="preserve">It is important to note that SFD is not a comprehensive measure of the State’s overall economic growth, as it does not include the external trade sector. For a State such as Western Australia, the external trade sector is an important driver of income and therefore growth.  Given the State’s strong international trade linkages, GSP is a better measure of overall economic activity (as it also includes the State’s external trade sector).  </w:t>
      </w: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Notwithstanding this, trends in domestic demand tend to have a strong influence on labour market conditions, particularly as the investment phase of activity tends to be more labour intensive than the production phase.</w:t>
      </w:r>
    </w:p>
    <w:p w:rsidR="007371AD" w:rsidRPr="007371AD" w:rsidRDefault="007371AD" w:rsidP="007371AD">
      <w:pPr>
        <w:keepNext/>
        <w:spacing w:before="240" w:after="60" w:line="360" w:lineRule="auto"/>
        <w:jc w:val="both"/>
        <w:outlineLvl w:val="0"/>
        <w:rPr>
          <w:rFonts w:ascii="Arial" w:eastAsia="Times New Roman" w:hAnsi="Arial" w:cs="Arial"/>
          <w:b/>
          <w:bCs/>
          <w:kern w:val="32"/>
          <w:sz w:val="32"/>
          <w:szCs w:val="32"/>
          <w:lang w:val="en-GB"/>
        </w:rPr>
      </w:pPr>
      <w:r w:rsidRPr="007371AD">
        <w:rPr>
          <w:rFonts w:ascii="Arial" w:eastAsia="Times New Roman" w:hAnsi="Arial" w:cs="Arial"/>
          <w:b/>
          <w:bCs/>
          <w:kern w:val="32"/>
          <w:sz w:val="32"/>
          <w:szCs w:val="32"/>
          <w:lang w:val="en-GB"/>
        </w:rPr>
        <w:t>CONSUMER PRICE INDEX</w:t>
      </w:r>
    </w:p>
    <w:p w:rsidR="007371AD" w:rsidRPr="007371AD" w:rsidRDefault="007371AD" w:rsidP="007371AD">
      <w:pPr>
        <w:spacing w:before="100" w:beforeAutospacing="1" w:after="100" w:afterAutospacing="1" w:line="240" w:lineRule="auto"/>
        <w:jc w:val="both"/>
        <w:outlineLvl w:val="1"/>
        <w:rPr>
          <w:rFonts w:ascii="Arial" w:eastAsia="Times New Roman" w:hAnsi="Arial" w:cs="Times New Roman"/>
          <w:b/>
          <w:bCs/>
          <w:i/>
          <w:sz w:val="24"/>
          <w:szCs w:val="34"/>
          <w:lang w:eastAsia="en-AU"/>
        </w:rPr>
      </w:pPr>
      <w:r w:rsidRPr="007371AD">
        <w:rPr>
          <w:rFonts w:ascii="Arial" w:eastAsia="Times New Roman" w:hAnsi="Arial" w:cs="Times New Roman"/>
          <w:b/>
          <w:bCs/>
          <w:i/>
          <w:sz w:val="24"/>
          <w:szCs w:val="34"/>
          <w:lang w:eastAsia="en-AU"/>
        </w:rPr>
        <w:t>Current Inflation Trends</w:t>
      </w: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r w:rsidRPr="007371AD">
        <w:rPr>
          <w:rFonts w:ascii="Arial" w:eastAsia="Times New Roman" w:hAnsi="Arial" w:cs="Arial"/>
          <w:spacing w:val="-2"/>
          <w:sz w:val="24"/>
          <w:szCs w:val="24"/>
          <w:lang w:eastAsia="en-AU"/>
        </w:rPr>
        <w:t>Perth’s CPI grew by 0.5% in the December quarter 2018, primarily due to increases in ‘recreation and culture’ and ‘alcohol and tobacco’. Apart from these increases, price pressures in the broader economy remain subdued, particularly in ‘transport’ and ‘health’.</w:t>
      </w:r>
    </w:p>
    <w:p w:rsidR="007371AD" w:rsidRPr="007371AD" w:rsidRDefault="007371AD" w:rsidP="007371AD">
      <w:pPr>
        <w:spacing w:after="0" w:line="240" w:lineRule="auto"/>
        <w:jc w:val="both"/>
        <w:rPr>
          <w:rFonts w:ascii="Arial" w:eastAsia="Times New Roman" w:hAnsi="Arial" w:cs="Arial"/>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Perth’s annual inflation rate increased by 0.9% in 2017-18, lifting marginally from 0.6% growth in 2016-17. Annual average growth of 1.1% in 2018 represents highest growth since March 2016, but remains well below the 20</w:t>
      </w:r>
      <w:r w:rsidRPr="007371AD">
        <w:rPr>
          <w:rFonts w:ascii="Arial" w:eastAsia="Times New Roman" w:hAnsi="Arial" w:cs="Arial"/>
          <w:spacing w:val="-2"/>
          <w:sz w:val="24"/>
          <w:szCs w:val="24"/>
          <w:lang w:eastAsia="en-AU"/>
        </w:rPr>
        <w:noBreakHyphen/>
        <w:t xml:space="preserve">year average growth rate of 2.6% per annum. </w:t>
      </w:r>
    </w:p>
    <w:p w:rsidR="007371AD" w:rsidRPr="007371AD" w:rsidRDefault="007371AD" w:rsidP="007371AD">
      <w:pPr>
        <w:spacing w:after="0" w:line="240" w:lineRule="auto"/>
        <w:jc w:val="both"/>
      </w:pPr>
      <w:r w:rsidRPr="007371AD">
        <w:rPr>
          <w:noProof/>
          <w:lang w:eastAsia="en-AU"/>
        </w:rPr>
        <w:drawing>
          <wp:anchor distT="0" distB="0" distL="114300" distR="114300" simplePos="0" relativeHeight="251660288" behindDoc="0" locked="0" layoutInCell="1" allowOverlap="1" wp14:anchorId="252C578B" wp14:editId="3127231F">
            <wp:simplePos x="0" y="0"/>
            <wp:positionH relativeFrom="margin">
              <wp:align>left</wp:align>
            </wp:positionH>
            <wp:positionV relativeFrom="paragraph">
              <wp:posOffset>99695</wp:posOffset>
            </wp:positionV>
            <wp:extent cx="3423285" cy="2988310"/>
            <wp:effectExtent l="0" t="0" r="571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3285" cy="2988310"/>
                    </a:xfrm>
                    <a:prstGeom prst="rect">
                      <a:avLst/>
                    </a:prstGeom>
                    <a:noFill/>
                  </pic:spPr>
                </pic:pic>
              </a:graphicData>
            </a:graphic>
            <wp14:sizeRelH relativeFrom="page">
              <wp14:pctWidth>0</wp14:pctWidth>
            </wp14:sizeRelH>
            <wp14:sizeRelV relativeFrom="page">
              <wp14:pctHeight>0</wp14:pctHeight>
            </wp14:sizeRelV>
          </wp:anchor>
        </w:drawing>
      </w: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Prices of housing related expenditure (particularly for rents and dwelling prices) continued to act as the biggest drag on the Perth CPI. Housing has now detracted from annual average growth for 10 consecutive quarters with the rent sub-component contracting in annual average terms for 14 consecutive quarters. Weakness in Perth’s housing related prices has been the primary contributor to the divergence between Perth and national CPI in recent years (Chart 2).</w:t>
      </w:r>
    </w:p>
    <w:p w:rsidR="007371AD" w:rsidRPr="007371AD" w:rsidRDefault="007371AD" w:rsidP="007371AD">
      <w:pPr>
        <w:spacing w:after="0" w:line="240" w:lineRule="auto"/>
        <w:jc w:val="both"/>
        <w:rPr>
          <w:rFonts w:ascii="Arial" w:eastAsia="Times New Roman" w:hAnsi="Arial" w:cs="Arial"/>
          <w:spacing w:val="-2"/>
          <w:sz w:val="24"/>
          <w:szCs w:val="24"/>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lastRenderedPageBreak/>
        <w:t>Inflation in Perth remains below the national rate of 1.9% in annual average terms, reflecting weaker domestic economic conditions in Western Australia. The drivers of recent price movements have been broadly similar at the State and national level and across all capital cities, with the exception that housing (e.g. rent) costs have fallen substantially in Perth relative to other capitals.</w:t>
      </w:r>
    </w:p>
    <w:p w:rsidR="007371AD" w:rsidRPr="007371AD" w:rsidRDefault="007371AD" w:rsidP="007371AD">
      <w:pPr>
        <w:spacing w:before="100" w:beforeAutospacing="1" w:after="100" w:afterAutospacing="1" w:line="240" w:lineRule="auto"/>
        <w:jc w:val="both"/>
        <w:outlineLvl w:val="1"/>
        <w:rPr>
          <w:rFonts w:ascii="Arial" w:eastAsia="Times New Roman" w:hAnsi="Arial" w:cs="Times New Roman"/>
          <w:b/>
          <w:bCs/>
          <w:i/>
          <w:sz w:val="24"/>
          <w:szCs w:val="34"/>
          <w:lang w:eastAsia="en-AU"/>
        </w:rPr>
      </w:pPr>
      <w:r w:rsidRPr="007371AD">
        <w:rPr>
          <w:rFonts w:ascii="Arial" w:eastAsia="Times New Roman" w:hAnsi="Arial" w:cs="Times New Roman"/>
          <w:b/>
          <w:bCs/>
          <w:i/>
          <w:sz w:val="24"/>
          <w:szCs w:val="34"/>
          <w:lang w:eastAsia="en-AU"/>
        </w:rPr>
        <w:t xml:space="preserve">Inflation Outlook </w:t>
      </w:r>
    </w:p>
    <w:p w:rsidR="007371AD" w:rsidRPr="007371AD" w:rsidRDefault="007371AD" w:rsidP="007371AD">
      <w:pPr>
        <w:spacing w:after="0" w:line="240" w:lineRule="auto"/>
        <w:jc w:val="both"/>
        <w:rPr>
          <w:rFonts w:ascii="Arial" w:eastAsia="Times New Roman" w:hAnsi="Arial" w:cs="Arial"/>
          <w:sz w:val="24"/>
          <w:szCs w:val="24"/>
          <w:lang w:eastAsia="en-AU"/>
        </w:rPr>
      </w:pPr>
      <w:r w:rsidRPr="007371AD">
        <w:rPr>
          <w:rFonts w:ascii="Arial" w:eastAsia="Times New Roman" w:hAnsi="Arial" w:cs="Arial"/>
          <w:sz w:val="24"/>
          <w:szCs w:val="24"/>
          <w:lang w:eastAsia="en-AU"/>
        </w:rPr>
        <w:t xml:space="preserve">There are signs that the drag on CPI growth from housing will ease in the near future. This reflects that the Perth housing market is returning towards equilibrium after having been oversupplied for some time. For example, the rental market has been tightening, with the Perth vacancy rate falling to below 3% in late 2018, from a recent peak of 7.3% in the June quarter 2017. </w:t>
      </w:r>
    </w:p>
    <w:p w:rsidR="007371AD" w:rsidRPr="007371AD" w:rsidRDefault="007371AD" w:rsidP="007371AD">
      <w:pPr>
        <w:spacing w:after="0" w:line="240" w:lineRule="auto"/>
        <w:jc w:val="both"/>
        <w:rPr>
          <w:rFonts w:ascii="Arial" w:eastAsia="Times New Roman" w:hAnsi="Arial" w:cs="Arial"/>
          <w:spacing w:val="-2"/>
          <w:sz w:val="24"/>
          <w:szCs w:val="24"/>
          <w:lang w:eastAsia="en-AU"/>
        </w:rPr>
      </w:pPr>
    </w:p>
    <w:p w:rsidR="007371AD" w:rsidRPr="007371AD" w:rsidRDefault="007371AD" w:rsidP="007371AD">
      <w:pPr>
        <w:spacing w:after="0" w:line="240" w:lineRule="auto"/>
        <w:jc w:val="both"/>
        <w:rPr>
          <w:rFonts w:ascii="Arial" w:eastAsia="Times New Roman" w:hAnsi="Arial" w:cs="Arial"/>
          <w:spacing w:val="-2"/>
          <w:sz w:val="24"/>
          <w:szCs w:val="24"/>
          <w:lang w:eastAsia="en-AU"/>
        </w:rPr>
      </w:pPr>
      <w:r w:rsidRPr="007371AD">
        <w:rPr>
          <w:rFonts w:ascii="Arial" w:eastAsia="Times New Roman" w:hAnsi="Arial" w:cs="Arial"/>
          <w:spacing w:val="-2"/>
          <w:sz w:val="24"/>
          <w:szCs w:val="24"/>
          <w:lang w:eastAsia="en-AU"/>
        </w:rPr>
        <w:t>The Perth CPI is forecast to lift to 1.5% in 2018-19 due to increases in administered items (such as electricity, public transport, water and vehicle registrations) as well as tobacco. Growth in the CPI is expected to lift to 2% in 2019-20 and 2.5% from 2020-21, supported by a recovery in general economic conditions. This is consistent with the middle of the RBA’s target band of between 2% and 3% (and in line with long run growth in the Perth CPI).</w:t>
      </w:r>
    </w:p>
    <w:p w:rsidR="007371AD" w:rsidRPr="007371AD" w:rsidRDefault="007371AD" w:rsidP="007371AD">
      <w:pPr>
        <w:spacing w:after="0" w:line="240" w:lineRule="auto"/>
        <w:jc w:val="both"/>
        <w:rPr>
          <w:rFonts w:ascii="Arial" w:eastAsia="Times New Roman" w:hAnsi="Arial" w:cs="Arial"/>
          <w:sz w:val="24"/>
          <w:szCs w:val="24"/>
          <w:highlight w:val="yellow"/>
          <w:lang w:eastAsia="en-AU"/>
        </w:rPr>
      </w:pPr>
    </w:p>
    <w:p w:rsidR="007371AD" w:rsidRPr="007371AD" w:rsidRDefault="007371AD" w:rsidP="007371AD">
      <w:pPr>
        <w:keepNext/>
        <w:spacing w:before="240" w:after="60" w:line="360" w:lineRule="auto"/>
        <w:jc w:val="both"/>
        <w:outlineLvl w:val="0"/>
        <w:rPr>
          <w:rFonts w:ascii="Arial" w:eastAsia="Times New Roman" w:hAnsi="Arial" w:cs="Arial"/>
          <w:b/>
          <w:bCs/>
          <w:kern w:val="32"/>
          <w:sz w:val="32"/>
          <w:szCs w:val="32"/>
          <w:lang w:val="en-GB"/>
        </w:rPr>
      </w:pPr>
      <w:r w:rsidRPr="007371AD">
        <w:rPr>
          <w:rFonts w:ascii="Arial" w:eastAsia="Times New Roman" w:hAnsi="Arial" w:cs="Arial"/>
          <w:b/>
          <w:bCs/>
          <w:kern w:val="32"/>
          <w:sz w:val="32"/>
          <w:szCs w:val="32"/>
          <w:lang w:val="en-GB"/>
        </w:rPr>
        <w:t xml:space="preserve">LABOUR MARKET </w:t>
      </w:r>
    </w:p>
    <w:p w:rsidR="007371AD" w:rsidRPr="007371AD" w:rsidRDefault="007371AD" w:rsidP="007371AD">
      <w:pPr>
        <w:spacing w:after="0" w:line="240" w:lineRule="auto"/>
        <w:jc w:val="both"/>
        <w:rPr>
          <w:rFonts w:ascii="Arial" w:eastAsia="Times New Roman" w:hAnsi="Arial" w:cs="Arial"/>
          <w:sz w:val="24"/>
          <w:szCs w:val="24"/>
          <w:lang w:eastAsia="en-AU"/>
        </w:rPr>
      </w:pPr>
      <w:r w:rsidRPr="007371AD">
        <w:rPr>
          <w:rFonts w:ascii="Arial" w:eastAsia="Times New Roman" w:hAnsi="Arial" w:cs="Arial"/>
          <w:sz w:val="24"/>
          <w:szCs w:val="24"/>
          <w:lang w:eastAsia="en-AU"/>
        </w:rPr>
        <w:t>Labour market conditions in WA have moderated over 2018, with annual average employment growth of 1.3% in January 2019. This compares to employment growth of 2.3% in 2017-18, which represented a strong recovery from a 0.9% fall in 2016</w:t>
      </w:r>
      <w:r w:rsidRPr="007371AD">
        <w:rPr>
          <w:rFonts w:ascii="Arial" w:eastAsia="Times New Roman" w:hAnsi="Arial" w:cs="Arial"/>
          <w:sz w:val="24"/>
          <w:szCs w:val="24"/>
          <w:lang w:eastAsia="en-AU"/>
        </w:rPr>
        <w:noBreakHyphen/>
        <w:t>17. Sustained higher workforce participation (the highest in Australia) has partially flowed through to a higher unemployment rate, which averaged 6.3% in the year to January 2019. Employment in the State is forecast to grow by 1.75% in 2018-19.</w:t>
      </w:r>
    </w:p>
    <w:p w:rsidR="007371AD" w:rsidRPr="007371AD" w:rsidRDefault="007371AD" w:rsidP="007371AD">
      <w:pPr>
        <w:spacing w:after="0" w:line="240" w:lineRule="auto"/>
        <w:jc w:val="both"/>
        <w:rPr>
          <w:rFonts w:ascii="Arial" w:eastAsia="Times New Roman" w:hAnsi="Arial" w:cs="Arial"/>
          <w:sz w:val="24"/>
          <w:szCs w:val="24"/>
          <w:lang w:eastAsia="en-AU"/>
        </w:rPr>
      </w:pPr>
    </w:p>
    <w:p w:rsidR="007371AD" w:rsidRPr="007371AD" w:rsidRDefault="007371AD" w:rsidP="007371AD">
      <w:pPr>
        <w:spacing w:after="0" w:line="240" w:lineRule="auto"/>
        <w:jc w:val="both"/>
        <w:rPr>
          <w:rFonts w:ascii="Arial" w:eastAsia="Times New Roman" w:hAnsi="Arial" w:cs="Arial"/>
          <w:sz w:val="24"/>
          <w:szCs w:val="24"/>
          <w:highlight w:val="yellow"/>
          <w:lang w:eastAsia="en-AU"/>
        </w:rPr>
      </w:pPr>
      <w:r w:rsidRPr="007371AD">
        <w:rPr>
          <w:rFonts w:ascii="Arial" w:eastAsia="Times New Roman" w:hAnsi="Arial" w:cs="Arial"/>
          <w:sz w:val="24"/>
          <w:szCs w:val="24"/>
          <w:lang w:eastAsia="en-AU"/>
        </w:rPr>
        <w:t>Improved hiring conditions have enticed people back into the labour market. Workforce participation has been higher than expected, particularly in recent months. The State’s participation rate averaged 68.5% in the year to January 2019, and remains well above the other States.</w:t>
      </w:r>
    </w:p>
    <w:p w:rsidR="007371AD" w:rsidRPr="007371AD" w:rsidRDefault="007371AD" w:rsidP="007371AD">
      <w:pPr>
        <w:spacing w:after="0" w:line="240" w:lineRule="auto"/>
        <w:jc w:val="both"/>
        <w:rPr>
          <w:rFonts w:ascii="Arial" w:eastAsia="Times New Roman" w:hAnsi="Arial" w:cs="Arial"/>
          <w:sz w:val="24"/>
          <w:szCs w:val="24"/>
          <w:highlight w:val="yellow"/>
          <w:lang w:eastAsia="en-AU"/>
        </w:rPr>
      </w:pPr>
      <w:r w:rsidRPr="007371AD">
        <w:rPr>
          <w:noProof/>
          <w:lang w:eastAsia="en-AU"/>
        </w:rPr>
        <w:lastRenderedPageBreak/>
        <w:drawing>
          <wp:anchor distT="0" distB="0" distL="114300" distR="114300" simplePos="0" relativeHeight="251661312" behindDoc="0" locked="0" layoutInCell="1" allowOverlap="1" wp14:anchorId="457B3BDF" wp14:editId="23B4AB29">
            <wp:simplePos x="0" y="0"/>
            <wp:positionH relativeFrom="margin">
              <wp:posOffset>2478405</wp:posOffset>
            </wp:positionH>
            <wp:positionV relativeFrom="paragraph">
              <wp:posOffset>-635</wp:posOffset>
            </wp:positionV>
            <wp:extent cx="3422650" cy="2988310"/>
            <wp:effectExtent l="0" t="0" r="635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2650" cy="2988310"/>
                    </a:xfrm>
                    <a:prstGeom prst="rect">
                      <a:avLst/>
                    </a:prstGeom>
                    <a:noFill/>
                  </pic:spPr>
                </pic:pic>
              </a:graphicData>
            </a:graphic>
            <wp14:sizeRelH relativeFrom="page">
              <wp14:pctWidth>0</wp14:pctWidth>
            </wp14:sizeRelH>
            <wp14:sizeRelV relativeFrom="page">
              <wp14:pctHeight>0</wp14:pctHeight>
            </wp14:sizeRelV>
          </wp:anchor>
        </w:drawing>
      </w:r>
    </w:p>
    <w:p w:rsidR="007371AD" w:rsidRPr="007371AD" w:rsidRDefault="007371AD" w:rsidP="007371AD">
      <w:pPr>
        <w:spacing w:after="0" w:line="240" w:lineRule="auto"/>
        <w:jc w:val="both"/>
        <w:rPr>
          <w:rFonts w:ascii="Arial" w:eastAsia="Times New Roman" w:hAnsi="Arial" w:cs="Arial"/>
          <w:sz w:val="24"/>
          <w:szCs w:val="24"/>
          <w:lang w:eastAsia="en-AU"/>
        </w:rPr>
      </w:pPr>
      <w:r w:rsidRPr="007371AD">
        <w:rPr>
          <w:rFonts w:ascii="Arial" w:eastAsia="Times New Roman" w:hAnsi="Arial" w:cs="Arial"/>
          <w:sz w:val="24"/>
          <w:szCs w:val="24"/>
          <w:lang w:eastAsia="en-AU"/>
        </w:rPr>
        <w:t xml:space="preserve">Western Australia’s annual </w:t>
      </w:r>
      <w:r w:rsidR="004A0A92">
        <w:rPr>
          <w:rFonts w:ascii="Arial" w:eastAsia="Times New Roman" w:hAnsi="Arial" w:cs="Arial"/>
          <w:sz w:val="24"/>
          <w:szCs w:val="24"/>
          <w:lang w:eastAsia="en-AU"/>
        </w:rPr>
        <w:t xml:space="preserve">average </w:t>
      </w:r>
      <w:r w:rsidRPr="007371AD">
        <w:rPr>
          <w:rFonts w:ascii="Arial" w:eastAsia="Times New Roman" w:hAnsi="Arial" w:cs="Arial"/>
          <w:sz w:val="24"/>
          <w:szCs w:val="24"/>
          <w:lang w:eastAsia="en-AU"/>
        </w:rPr>
        <w:t>unemployment rate remains above the national equivalent (5.3%), as it has done since May 2016 (Chart 3).</w:t>
      </w:r>
    </w:p>
    <w:p w:rsidR="007371AD" w:rsidRPr="007371AD" w:rsidRDefault="007371AD" w:rsidP="007371AD">
      <w:pPr>
        <w:spacing w:after="0" w:line="240" w:lineRule="auto"/>
        <w:jc w:val="both"/>
        <w:rPr>
          <w:rFonts w:ascii="Arial" w:eastAsia="Times New Roman" w:hAnsi="Arial" w:cs="Arial"/>
          <w:sz w:val="24"/>
          <w:szCs w:val="24"/>
          <w:highlight w:val="yellow"/>
          <w:lang w:eastAsia="en-AU"/>
        </w:rPr>
      </w:pPr>
      <w:r w:rsidRPr="007371AD">
        <w:rPr>
          <w:rFonts w:ascii="Arial" w:eastAsia="Times New Roman" w:hAnsi="Arial" w:cs="Arial"/>
          <w:sz w:val="24"/>
          <w:szCs w:val="24"/>
          <w:highlight w:val="yellow"/>
          <w:lang w:eastAsia="en-AU"/>
        </w:rPr>
        <w:t xml:space="preserve"> </w:t>
      </w:r>
    </w:p>
    <w:p w:rsidR="007371AD" w:rsidRPr="007371AD" w:rsidRDefault="007371AD" w:rsidP="007371AD">
      <w:pPr>
        <w:spacing w:after="0" w:line="240" w:lineRule="auto"/>
        <w:jc w:val="both"/>
        <w:rPr>
          <w:rFonts w:ascii="Arial" w:eastAsia="Times New Roman" w:hAnsi="Arial" w:cs="Arial"/>
          <w:sz w:val="24"/>
          <w:szCs w:val="24"/>
          <w:highlight w:val="yellow"/>
          <w:lang w:eastAsia="en-AU"/>
        </w:rPr>
      </w:pPr>
      <w:r w:rsidRPr="007371AD">
        <w:rPr>
          <w:rFonts w:ascii="Arial" w:eastAsia="Times New Roman" w:hAnsi="Arial" w:cs="Arial"/>
          <w:sz w:val="24"/>
          <w:szCs w:val="24"/>
          <w:lang w:eastAsia="en-AU"/>
        </w:rPr>
        <w:t>There are other indicators that suggest the degree of spare capacity in the labour market is relatively high. One indicator is the underemployment rate, which averaged 9.4% in the year to January 2019. This is lower than a record high of 9.9% in December 2017 (but much higher than its recent low of 5.6% in April 2013) and implies that there is a large portion of employed persons who would like to work more hours. When combined with the unemployment rate, the rate of underutilisation in the State rose to 15.7% in January 2019, slightly lower than the peak of 16.0% in June 2017.</w:t>
      </w:r>
    </w:p>
    <w:p w:rsidR="007371AD" w:rsidRPr="007371AD" w:rsidRDefault="007371AD" w:rsidP="007371AD">
      <w:pPr>
        <w:spacing w:after="0" w:line="240" w:lineRule="auto"/>
        <w:jc w:val="both"/>
        <w:rPr>
          <w:rFonts w:ascii="Arial" w:eastAsia="Times New Roman" w:hAnsi="Arial" w:cs="Arial"/>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sz w:val="24"/>
          <w:szCs w:val="24"/>
          <w:lang w:eastAsia="en-AU"/>
        </w:rPr>
      </w:pPr>
      <w:r w:rsidRPr="007371AD">
        <w:rPr>
          <w:rFonts w:ascii="Arial" w:eastAsia="Times New Roman" w:hAnsi="Arial" w:cs="Arial"/>
          <w:sz w:val="24"/>
          <w:szCs w:val="24"/>
          <w:lang w:eastAsia="en-AU"/>
        </w:rPr>
        <w:t xml:space="preserve">In addition, there are a record number of persons in Western Australia looking for work who were not classed as 'unemployed' by the ABS as they did not meet the official criteria (i.e. they were either passively looking for work or not immediately available to start). Consistent with the stronger job prospects, the State’s participation rate increased to 68.5% in the year to January 2019, up slightly from 68.3% in 2017-18. Western Australia’s participation rate remains the highest of all States and well above the national rate (65.6%). </w:t>
      </w:r>
    </w:p>
    <w:p w:rsidR="007371AD" w:rsidRPr="007371AD" w:rsidRDefault="007371AD" w:rsidP="007371AD">
      <w:pPr>
        <w:keepNext/>
        <w:spacing w:before="100" w:beforeAutospacing="1" w:after="100" w:afterAutospacing="1" w:line="240" w:lineRule="auto"/>
        <w:jc w:val="both"/>
        <w:outlineLvl w:val="1"/>
        <w:rPr>
          <w:rFonts w:ascii="Arial" w:eastAsia="Times New Roman" w:hAnsi="Arial" w:cs="Times New Roman"/>
          <w:b/>
          <w:bCs/>
          <w:i/>
          <w:sz w:val="24"/>
          <w:szCs w:val="34"/>
          <w:lang w:eastAsia="en-AU"/>
        </w:rPr>
      </w:pPr>
      <w:r w:rsidRPr="007371AD">
        <w:rPr>
          <w:rFonts w:ascii="Arial" w:eastAsia="Times New Roman" w:hAnsi="Arial" w:cs="Times New Roman"/>
          <w:b/>
          <w:bCs/>
          <w:i/>
          <w:sz w:val="24"/>
          <w:szCs w:val="34"/>
          <w:lang w:eastAsia="en-AU"/>
        </w:rPr>
        <w:t xml:space="preserve">Labour force outlook </w:t>
      </w:r>
    </w:p>
    <w:p w:rsidR="007371AD" w:rsidRPr="007371AD" w:rsidRDefault="007371AD" w:rsidP="007371AD">
      <w:pPr>
        <w:spacing w:after="0" w:line="240" w:lineRule="auto"/>
        <w:jc w:val="both"/>
        <w:rPr>
          <w:rFonts w:ascii="Arial" w:eastAsia="Times New Roman" w:hAnsi="Arial" w:cs="Arial"/>
          <w:sz w:val="24"/>
          <w:szCs w:val="24"/>
          <w:lang w:eastAsia="en-AU"/>
        </w:rPr>
      </w:pPr>
      <w:r w:rsidRPr="007371AD">
        <w:rPr>
          <w:rFonts w:ascii="Arial" w:eastAsia="Times New Roman" w:hAnsi="Arial" w:cs="Arial"/>
          <w:sz w:val="24"/>
          <w:szCs w:val="24"/>
          <w:lang w:eastAsia="en-AU"/>
        </w:rPr>
        <w:t>Lead indicators of labour demand suggest a further increase in hiring in Western Australia in the near term. This is consistent with the Mid-year Review forecast for 1.75% growth in 2018</w:t>
      </w:r>
      <w:r w:rsidRPr="007371AD">
        <w:rPr>
          <w:rFonts w:ascii="Arial" w:eastAsia="Times New Roman" w:hAnsi="Arial" w:cs="Arial"/>
          <w:sz w:val="24"/>
          <w:szCs w:val="24"/>
          <w:lang w:eastAsia="en-AU"/>
        </w:rPr>
        <w:noBreakHyphen/>
        <w:t>19, following 2.3% growth in 2017-18.</w:t>
      </w:r>
      <w:r w:rsidRPr="007371AD">
        <w:t xml:space="preserve"> </w:t>
      </w:r>
      <w:r w:rsidRPr="007371AD">
        <w:rPr>
          <w:rFonts w:ascii="Arial" w:eastAsia="Times New Roman" w:hAnsi="Arial" w:cs="Arial"/>
          <w:sz w:val="24"/>
          <w:szCs w:val="24"/>
          <w:lang w:eastAsia="en-AU"/>
        </w:rPr>
        <w:t>The moderation in the rate of employment growth in 2018</w:t>
      </w:r>
      <w:r w:rsidRPr="007371AD">
        <w:rPr>
          <w:rFonts w:ascii="Arial" w:eastAsia="Times New Roman" w:hAnsi="Arial" w:cs="Arial"/>
          <w:sz w:val="24"/>
          <w:szCs w:val="24"/>
          <w:lang w:eastAsia="en-AU"/>
        </w:rPr>
        <w:noBreakHyphen/>
        <w:t>19 as work on large LNG projects is completed was expected. Growth over the forward estimates period is projected to remain broadly in line with the 28 year average rate of 2.1%.</w:t>
      </w:r>
    </w:p>
    <w:p w:rsidR="007371AD" w:rsidRPr="007371AD" w:rsidRDefault="007371AD" w:rsidP="007371AD">
      <w:pPr>
        <w:spacing w:after="0" w:line="240" w:lineRule="auto"/>
        <w:jc w:val="both"/>
        <w:rPr>
          <w:rFonts w:ascii="Arial" w:eastAsia="Times New Roman" w:hAnsi="Arial" w:cs="Arial"/>
          <w:sz w:val="24"/>
          <w:szCs w:val="24"/>
          <w:highlight w:val="yellow"/>
          <w:lang w:eastAsia="en-AU"/>
        </w:rPr>
      </w:pPr>
      <w:r w:rsidRPr="007371AD">
        <w:rPr>
          <w:rFonts w:ascii="Arial" w:eastAsia="Times New Roman" w:hAnsi="Arial" w:cs="Arial"/>
          <w:sz w:val="24"/>
          <w:szCs w:val="24"/>
          <w:highlight w:val="yellow"/>
          <w:lang w:eastAsia="en-AU"/>
        </w:rPr>
        <w:t xml:space="preserve"> </w:t>
      </w:r>
    </w:p>
    <w:p w:rsidR="007371AD" w:rsidRPr="007371AD" w:rsidRDefault="007371AD" w:rsidP="007371AD">
      <w:pPr>
        <w:keepNext/>
        <w:spacing w:before="240" w:after="60" w:line="360" w:lineRule="auto"/>
        <w:jc w:val="both"/>
        <w:outlineLvl w:val="0"/>
        <w:rPr>
          <w:rFonts w:ascii="Arial" w:eastAsia="Times New Roman" w:hAnsi="Arial" w:cs="Arial"/>
          <w:b/>
          <w:bCs/>
          <w:kern w:val="32"/>
          <w:sz w:val="32"/>
          <w:szCs w:val="32"/>
          <w:lang w:val="en-GB"/>
        </w:rPr>
      </w:pPr>
      <w:r w:rsidRPr="007371AD">
        <w:rPr>
          <w:rFonts w:ascii="Arial" w:eastAsia="Times New Roman" w:hAnsi="Arial" w:cs="Arial"/>
          <w:b/>
          <w:bCs/>
          <w:kern w:val="32"/>
          <w:sz w:val="32"/>
          <w:szCs w:val="32"/>
          <w:lang w:val="en-GB"/>
        </w:rPr>
        <w:t xml:space="preserve">WAGES </w:t>
      </w: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r w:rsidRPr="007371AD">
        <w:rPr>
          <w:rFonts w:ascii="Arial" w:eastAsia="Times New Roman" w:hAnsi="Arial" w:cs="Arial"/>
          <w:color w:val="000000"/>
          <w:spacing w:val="-2"/>
          <w:sz w:val="24"/>
          <w:szCs w:val="24"/>
          <w:lang w:eastAsia="en-AU"/>
        </w:rPr>
        <w:t>Ongoing spare capacity in the labour market</w:t>
      </w:r>
      <w:r w:rsidR="00933661">
        <w:rPr>
          <w:rFonts w:ascii="Arial" w:eastAsia="Times New Roman" w:hAnsi="Arial" w:cs="Arial"/>
          <w:color w:val="000000"/>
          <w:spacing w:val="-2"/>
          <w:sz w:val="24"/>
          <w:szCs w:val="24"/>
          <w:lang w:eastAsia="en-AU"/>
        </w:rPr>
        <w:t xml:space="preserve"> and</w:t>
      </w:r>
      <w:r w:rsidRPr="007371AD">
        <w:rPr>
          <w:rFonts w:ascii="Arial" w:eastAsia="Times New Roman" w:hAnsi="Arial" w:cs="Arial"/>
          <w:color w:val="000000"/>
          <w:spacing w:val="-2"/>
          <w:sz w:val="24"/>
          <w:szCs w:val="24"/>
          <w:lang w:eastAsia="en-AU"/>
        </w:rPr>
        <w:t xml:space="preserve"> low inflation expectations are expected to result in subdued wages growth in Western Australia.</w:t>
      </w:r>
      <w:r w:rsidRPr="007371AD">
        <w:rPr>
          <w:rFonts w:ascii="Arial" w:eastAsia="Times New Roman" w:hAnsi="Arial" w:cs="Arial"/>
          <w:color w:val="000000"/>
          <w:spacing w:val="-2"/>
          <w:sz w:val="24"/>
          <w:szCs w:val="24"/>
          <w:highlight w:val="yellow"/>
          <w:lang w:eastAsia="en-AU"/>
        </w:rPr>
        <w:t xml:space="preserve"> </w:t>
      </w:r>
    </w:p>
    <w:p w:rsidR="007371AD" w:rsidRPr="007371AD" w:rsidRDefault="007371AD" w:rsidP="007371AD">
      <w:pPr>
        <w:spacing w:after="0" w:line="240" w:lineRule="auto"/>
        <w:jc w:val="both"/>
        <w:rPr>
          <w:rFonts w:ascii="Arial" w:eastAsia="Times New Roman" w:hAnsi="Arial" w:cs="Arial"/>
          <w:color w:val="000000"/>
          <w:spacing w:val="-2"/>
          <w:sz w:val="24"/>
          <w:szCs w:val="24"/>
          <w:lang w:eastAsia="en-AU"/>
        </w:rPr>
      </w:pPr>
      <w:r w:rsidRPr="007371AD">
        <w:rPr>
          <w:noProof/>
          <w:lang w:eastAsia="en-AU"/>
        </w:rPr>
        <w:lastRenderedPageBreak/>
        <w:drawing>
          <wp:anchor distT="0" distB="0" distL="114300" distR="114300" simplePos="0" relativeHeight="251662336" behindDoc="0" locked="0" layoutInCell="1" allowOverlap="1" wp14:anchorId="651712DE" wp14:editId="413BB9B9">
            <wp:simplePos x="0" y="0"/>
            <wp:positionH relativeFrom="margin">
              <wp:align>left</wp:align>
            </wp:positionH>
            <wp:positionV relativeFrom="paragraph">
              <wp:posOffset>83820</wp:posOffset>
            </wp:positionV>
            <wp:extent cx="3423285" cy="2988310"/>
            <wp:effectExtent l="0" t="0" r="571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3285" cy="2988310"/>
                    </a:xfrm>
                    <a:prstGeom prst="rect">
                      <a:avLst/>
                    </a:prstGeom>
                    <a:noFill/>
                  </pic:spPr>
                </pic:pic>
              </a:graphicData>
            </a:graphic>
            <wp14:sizeRelH relativeFrom="page">
              <wp14:pctWidth>0</wp14:pctWidth>
            </wp14:sizeRelH>
            <wp14:sizeRelV relativeFrom="page">
              <wp14:pctHeight>0</wp14:pctHeight>
            </wp14:sizeRelV>
          </wp:anchor>
        </w:drawing>
      </w:r>
    </w:p>
    <w:p w:rsidR="007371AD" w:rsidRPr="007371AD" w:rsidRDefault="007371AD" w:rsidP="007371AD">
      <w:pPr>
        <w:spacing w:after="0" w:line="240" w:lineRule="auto"/>
        <w:jc w:val="both"/>
        <w:rPr>
          <w:rFonts w:ascii="Arial" w:eastAsia="Times New Roman" w:hAnsi="Arial" w:cs="Arial"/>
          <w:color w:val="000000"/>
          <w:spacing w:val="-2"/>
          <w:sz w:val="24"/>
          <w:szCs w:val="24"/>
          <w:lang w:eastAsia="en-AU"/>
        </w:rPr>
      </w:pPr>
      <w:r w:rsidRPr="007371AD">
        <w:rPr>
          <w:rFonts w:ascii="Arial" w:eastAsia="Times New Roman" w:hAnsi="Arial" w:cs="Arial"/>
          <w:color w:val="000000"/>
          <w:spacing w:val="-2"/>
          <w:sz w:val="24"/>
          <w:szCs w:val="24"/>
          <w:lang w:eastAsia="en-AU"/>
        </w:rPr>
        <w:t>The State’s Wage Price Index (WPI) increased by just 0.3% in the December quarter 2018. This follows 0.6% growth in the September 2018 quarter, well below the decade average quarterly growth of 0.7%.</w:t>
      </w: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r w:rsidRPr="007371AD">
        <w:rPr>
          <w:rFonts w:ascii="Arial" w:eastAsia="Times New Roman" w:hAnsi="Arial" w:cs="Arial"/>
          <w:color w:val="000000"/>
          <w:spacing w:val="-2"/>
          <w:sz w:val="24"/>
          <w:szCs w:val="24"/>
          <w:lang w:eastAsia="en-AU"/>
        </w:rPr>
        <w:t xml:space="preserve">Annual average WPI growth picked up slightly to 1.5% in 2018, from 1.3% in September 2017 (the lowest annual growth rate on record). This compares to 1.7% WPI growth in 2016 and is currently the lowest result of all jurisdictions. </w:t>
      </w: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color w:val="000000"/>
          <w:spacing w:val="-2"/>
          <w:sz w:val="24"/>
          <w:szCs w:val="24"/>
          <w:lang w:eastAsia="en-AU"/>
        </w:rPr>
      </w:pPr>
      <w:r w:rsidRPr="007371AD">
        <w:rPr>
          <w:rFonts w:ascii="Arial" w:eastAsia="Times New Roman" w:hAnsi="Arial" w:cs="Arial"/>
          <w:color w:val="000000"/>
          <w:spacing w:val="-2"/>
          <w:sz w:val="24"/>
          <w:szCs w:val="24"/>
          <w:lang w:eastAsia="en-AU"/>
        </w:rPr>
        <w:t xml:space="preserve">While national wages growth in 2018 is near record lows at 2.2%, it remains above growth in Western Australia (Chart 4). </w:t>
      </w:r>
    </w:p>
    <w:p w:rsidR="007371AD" w:rsidRPr="007371AD" w:rsidRDefault="007371AD" w:rsidP="007371AD">
      <w:pPr>
        <w:spacing w:after="0" w:line="240" w:lineRule="auto"/>
        <w:jc w:val="both"/>
        <w:rPr>
          <w:rFonts w:ascii="Arial" w:eastAsia="Times New Roman" w:hAnsi="Arial" w:cs="Arial"/>
          <w:color w:val="000000"/>
          <w:spacing w:val="-2"/>
          <w:sz w:val="24"/>
          <w:szCs w:val="24"/>
          <w:lang w:eastAsia="en-AU"/>
        </w:rPr>
      </w:pPr>
    </w:p>
    <w:p w:rsidR="007371AD" w:rsidRPr="007371AD" w:rsidRDefault="007371AD" w:rsidP="007371AD">
      <w:pPr>
        <w:spacing w:after="0" w:line="240" w:lineRule="auto"/>
        <w:jc w:val="both"/>
        <w:rPr>
          <w:rFonts w:ascii="Arial" w:eastAsia="Times New Roman" w:hAnsi="Arial" w:cs="Arial"/>
          <w:color w:val="000000"/>
          <w:spacing w:val="-2"/>
          <w:sz w:val="24"/>
          <w:szCs w:val="24"/>
          <w:lang w:eastAsia="en-AU"/>
        </w:rPr>
      </w:pPr>
      <w:r w:rsidRPr="007371AD">
        <w:rPr>
          <w:rFonts w:ascii="Arial" w:eastAsia="Times New Roman" w:hAnsi="Arial" w:cs="Arial"/>
          <w:color w:val="000000"/>
          <w:spacing w:val="-2"/>
          <w:sz w:val="24"/>
          <w:szCs w:val="24"/>
          <w:lang w:eastAsia="en-AU"/>
        </w:rPr>
        <w:t xml:space="preserve">Consistent with a slowing in the pace of nominal wage growth, real wages growth moderated to 0.4% in 2018, compared to 0.5% in 2017 and 0.5% in 2017-18. This also reflects a slight increase in the Perth CPI over this period (as outlined in the CPI section above). </w:t>
      </w: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r w:rsidRPr="007371AD">
        <w:rPr>
          <w:rFonts w:ascii="Arial" w:eastAsia="Times New Roman" w:hAnsi="Arial" w:cs="Arial"/>
          <w:color w:val="000000"/>
          <w:spacing w:val="-2"/>
          <w:sz w:val="24"/>
          <w:szCs w:val="24"/>
          <w:lang w:eastAsia="en-AU"/>
        </w:rPr>
        <w:t>Throughout 2018, nominal wage growth in Western Australia has eased in both the public and private sectors. From June 2018, however, public sector wage growth has been weaker than that in the private sector (for the first time since March 2013). In 2018, private sector wage growth was slightly higher (at 1.6%) than public sector wage growth (at 1.4%). Since the December quarter 2014, annual average growth in total WPI for WA been weaker than the national rate which has remained above 2.0% over this period.</w:t>
      </w:r>
    </w:p>
    <w:p w:rsidR="007371AD" w:rsidRPr="007371AD" w:rsidRDefault="007371AD" w:rsidP="007371AD">
      <w:pPr>
        <w:keepNext/>
        <w:spacing w:before="100" w:beforeAutospacing="1" w:after="100" w:afterAutospacing="1" w:line="240" w:lineRule="auto"/>
        <w:jc w:val="both"/>
        <w:outlineLvl w:val="1"/>
        <w:rPr>
          <w:rFonts w:ascii="Arial" w:eastAsia="Times New Roman" w:hAnsi="Arial" w:cs="Times New Roman"/>
          <w:b/>
          <w:bCs/>
          <w:i/>
          <w:color w:val="000000"/>
          <w:sz w:val="24"/>
          <w:szCs w:val="34"/>
          <w:lang w:eastAsia="en-AU"/>
        </w:rPr>
      </w:pPr>
      <w:r w:rsidRPr="007371AD">
        <w:rPr>
          <w:rFonts w:ascii="Arial" w:eastAsia="Times New Roman" w:hAnsi="Arial" w:cs="Times New Roman"/>
          <w:b/>
          <w:bCs/>
          <w:i/>
          <w:color w:val="000000"/>
          <w:sz w:val="24"/>
          <w:szCs w:val="34"/>
          <w:lang w:eastAsia="en-AU"/>
        </w:rPr>
        <w:t>Earnings</w:t>
      </w: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r w:rsidRPr="007371AD">
        <w:rPr>
          <w:rFonts w:ascii="Arial" w:eastAsia="Times New Roman" w:hAnsi="Arial" w:cs="Arial"/>
          <w:color w:val="000000"/>
          <w:spacing w:val="-2"/>
          <w:sz w:val="24"/>
          <w:szCs w:val="24"/>
          <w:lang w:eastAsia="en-AU"/>
        </w:rPr>
        <w:t>Seasonally adjusted, total average weekly earnings (AWE) in Western Australia decreased by 1.7% in 2018</w:t>
      </w:r>
      <w:r w:rsidRPr="007371AD">
        <w:rPr>
          <w:rFonts w:ascii="Arial" w:eastAsia="Times New Roman" w:hAnsi="Arial" w:cs="Arial"/>
          <w:color w:val="000000"/>
          <w:spacing w:val="-2"/>
          <w:sz w:val="24"/>
          <w:szCs w:val="24"/>
          <w:vertAlign w:val="superscript"/>
          <w:lang w:eastAsia="en-AU"/>
        </w:rPr>
        <w:footnoteReference w:id="34"/>
      </w:r>
      <w:r w:rsidRPr="007371AD">
        <w:rPr>
          <w:rFonts w:ascii="Arial" w:eastAsia="Times New Roman" w:hAnsi="Arial" w:cs="Arial"/>
          <w:color w:val="000000"/>
          <w:spacing w:val="-2"/>
          <w:sz w:val="24"/>
          <w:szCs w:val="24"/>
          <w:lang w:eastAsia="en-AU"/>
        </w:rPr>
        <w:t xml:space="preserve">, to reach $1,299.30. In dollar terms, AWE in Western Australia was the highest of all the States, behind only the NT ($1,351.70) and the ACT ($1,460.80). However, annual average growth was the lowest of all jurisdictions, following growth of 0.7% in 2017. This compares to a 2.9% recent growth peak in the year to May 2015. </w:t>
      </w: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r w:rsidRPr="007371AD">
        <w:rPr>
          <w:rFonts w:ascii="Arial" w:eastAsia="Times New Roman" w:hAnsi="Arial" w:cs="Arial"/>
          <w:color w:val="000000"/>
          <w:spacing w:val="-2"/>
          <w:sz w:val="24"/>
          <w:szCs w:val="24"/>
          <w:lang w:eastAsia="en-AU"/>
        </w:rPr>
        <w:t>Average weekly full</w:t>
      </w:r>
      <w:r w:rsidRPr="007371AD">
        <w:rPr>
          <w:rFonts w:ascii="Arial" w:eastAsia="Times New Roman" w:hAnsi="Arial" w:cs="Arial"/>
          <w:color w:val="000000"/>
          <w:spacing w:val="-2"/>
          <w:sz w:val="24"/>
          <w:szCs w:val="24"/>
          <w:lang w:eastAsia="en-AU"/>
        </w:rPr>
        <w:noBreakHyphen/>
        <w:t xml:space="preserve">time ordinary earnings (AWOTE) increased by 1.2% in 2018 to reach $1,757.10 (behind only the ACT at $1,811.30). This measure of average wages is </w:t>
      </w:r>
      <w:r w:rsidRPr="007371AD">
        <w:rPr>
          <w:rFonts w:ascii="Arial" w:eastAsia="Times New Roman" w:hAnsi="Arial" w:cs="Arial"/>
          <w:color w:val="000000"/>
          <w:spacing w:val="-2"/>
          <w:sz w:val="24"/>
          <w:szCs w:val="24"/>
          <w:lang w:val="en-US" w:eastAsia="en-AU"/>
        </w:rPr>
        <w:t>not impacted by the compositional changes between full</w:t>
      </w:r>
      <w:r w:rsidRPr="007371AD">
        <w:rPr>
          <w:rFonts w:ascii="Arial" w:eastAsia="Times New Roman" w:hAnsi="Arial" w:cs="Arial"/>
          <w:color w:val="000000"/>
          <w:spacing w:val="-2"/>
          <w:sz w:val="24"/>
          <w:szCs w:val="24"/>
          <w:lang w:val="en-US" w:eastAsia="en-AU"/>
        </w:rPr>
        <w:noBreakHyphen/>
        <w:t>time and part</w:t>
      </w:r>
      <w:r w:rsidRPr="007371AD">
        <w:rPr>
          <w:rFonts w:ascii="Arial" w:eastAsia="Times New Roman" w:hAnsi="Arial" w:cs="Arial"/>
          <w:color w:val="000000"/>
          <w:spacing w:val="-2"/>
          <w:sz w:val="24"/>
          <w:szCs w:val="24"/>
          <w:lang w:val="en-US" w:eastAsia="en-AU"/>
        </w:rPr>
        <w:noBreakHyphen/>
        <w:t>time employment.</w:t>
      </w:r>
    </w:p>
    <w:p w:rsidR="007371AD" w:rsidRPr="007371AD" w:rsidRDefault="007371AD" w:rsidP="007371AD">
      <w:pPr>
        <w:spacing w:after="0" w:line="240" w:lineRule="auto"/>
        <w:jc w:val="both"/>
        <w:rPr>
          <w:rFonts w:ascii="Arial" w:eastAsia="Times New Roman" w:hAnsi="Arial" w:cs="Arial"/>
          <w:color w:val="000000"/>
          <w:spacing w:val="-2"/>
          <w:sz w:val="24"/>
          <w:szCs w:val="24"/>
          <w:highlight w:val="yellow"/>
          <w:lang w:eastAsia="en-AU"/>
        </w:rPr>
      </w:pPr>
    </w:p>
    <w:p w:rsidR="004A0A92" w:rsidRDefault="004A0A92">
      <w:pPr>
        <w:rPr>
          <w:rFonts w:ascii="Arial" w:eastAsia="Times New Roman" w:hAnsi="Arial" w:cs="Arial"/>
          <w:color w:val="000000"/>
          <w:spacing w:val="-2"/>
          <w:sz w:val="24"/>
          <w:szCs w:val="24"/>
          <w:lang w:eastAsia="en-AU"/>
        </w:rPr>
      </w:pPr>
      <w:r>
        <w:rPr>
          <w:rFonts w:ascii="Arial" w:eastAsia="Times New Roman" w:hAnsi="Arial" w:cs="Arial"/>
          <w:color w:val="000000"/>
          <w:spacing w:val="-2"/>
          <w:sz w:val="24"/>
          <w:szCs w:val="24"/>
          <w:lang w:eastAsia="en-AU"/>
        </w:rPr>
        <w:br w:type="page"/>
      </w:r>
    </w:p>
    <w:p w:rsidR="007371AD" w:rsidRPr="007371AD" w:rsidRDefault="007371AD" w:rsidP="007371AD">
      <w:pPr>
        <w:spacing w:after="0" w:line="240" w:lineRule="auto"/>
        <w:jc w:val="both"/>
        <w:rPr>
          <w:rFonts w:ascii="Arial" w:eastAsia="Times New Roman" w:hAnsi="Arial" w:cs="Arial"/>
          <w:color w:val="000000"/>
          <w:spacing w:val="-2"/>
          <w:sz w:val="24"/>
          <w:szCs w:val="24"/>
          <w:lang w:eastAsia="en-AU"/>
        </w:rPr>
      </w:pPr>
      <w:r w:rsidRPr="007371AD">
        <w:rPr>
          <w:rFonts w:ascii="Arial" w:eastAsia="Times New Roman" w:hAnsi="Arial" w:cs="Arial"/>
          <w:color w:val="000000"/>
          <w:spacing w:val="-2"/>
          <w:sz w:val="24"/>
          <w:szCs w:val="24"/>
          <w:lang w:eastAsia="en-AU"/>
        </w:rPr>
        <w:lastRenderedPageBreak/>
        <w:t>In a State like Western Australia, growth in the various average weekly earnings measures tends to be more volatile than growth in the WPI. The greater volatility in part reflects changes in the composition of the State’s workforce</w:t>
      </w:r>
      <w:r w:rsidRPr="007371AD">
        <w:rPr>
          <w:rFonts w:ascii="Arial" w:eastAsia="Times New Roman" w:hAnsi="Arial" w:cs="Arial"/>
          <w:color w:val="000000"/>
          <w:spacing w:val="-2"/>
          <w:sz w:val="24"/>
          <w:szCs w:val="24"/>
          <w:vertAlign w:val="superscript"/>
          <w:lang w:eastAsia="en-AU"/>
        </w:rPr>
        <w:footnoteReference w:id="35"/>
      </w:r>
      <w:r w:rsidRPr="007371AD">
        <w:rPr>
          <w:rFonts w:ascii="Arial" w:eastAsia="Times New Roman" w:hAnsi="Arial" w:cs="Arial"/>
          <w:color w:val="000000"/>
          <w:spacing w:val="-2"/>
          <w:sz w:val="24"/>
          <w:szCs w:val="24"/>
          <w:lang w:eastAsia="en-AU"/>
        </w:rPr>
        <w:t xml:space="preserve">, which affects average earnings data, but not the WPI (as the latter only measures wage movements in a basket of jobs of a fixed quantity and quality).  </w:t>
      </w:r>
    </w:p>
    <w:p w:rsidR="007371AD" w:rsidRPr="007371AD" w:rsidRDefault="007371AD" w:rsidP="007371AD">
      <w:pPr>
        <w:spacing w:after="0" w:line="240" w:lineRule="auto"/>
        <w:jc w:val="both"/>
        <w:rPr>
          <w:rFonts w:ascii="Arial" w:eastAsia="Times New Roman" w:hAnsi="Arial" w:cs="Arial"/>
          <w:color w:val="000000"/>
          <w:spacing w:val="-2"/>
          <w:sz w:val="24"/>
          <w:szCs w:val="24"/>
          <w:lang w:eastAsia="en-AU"/>
        </w:rPr>
      </w:pPr>
    </w:p>
    <w:p w:rsidR="007371AD" w:rsidRPr="007371AD" w:rsidRDefault="007371AD" w:rsidP="007371AD">
      <w:pPr>
        <w:spacing w:after="0" w:line="240" w:lineRule="auto"/>
        <w:jc w:val="both"/>
        <w:rPr>
          <w:rFonts w:ascii="Arial" w:eastAsia="Times New Roman" w:hAnsi="Arial" w:cs="Arial"/>
          <w:color w:val="000000"/>
          <w:spacing w:val="-2"/>
          <w:sz w:val="24"/>
          <w:szCs w:val="24"/>
          <w:lang w:eastAsia="en-AU"/>
        </w:rPr>
      </w:pPr>
      <w:r w:rsidRPr="007371AD">
        <w:rPr>
          <w:rFonts w:ascii="Arial" w:eastAsia="Times New Roman" w:hAnsi="Arial" w:cs="Arial"/>
          <w:color w:val="000000"/>
          <w:spacing w:val="-2"/>
          <w:sz w:val="24"/>
          <w:szCs w:val="24"/>
          <w:lang w:eastAsia="en-AU"/>
        </w:rPr>
        <w:t>Given the volatility and compositional issues associated with earnings measures, the WPI is a preferred measure of underlying wage growth.</w:t>
      </w:r>
    </w:p>
    <w:p w:rsidR="007371AD" w:rsidRPr="007371AD" w:rsidRDefault="007371AD" w:rsidP="007371AD">
      <w:pPr>
        <w:spacing w:after="240" w:line="240" w:lineRule="auto"/>
        <w:jc w:val="both"/>
        <w:rPr>
          <w:rFonts w:ascii="Arial" w:hAnsi="Arial" w:cs="Arial"/>
          <w:color w:val="000000"/>
          <w:spacing w:val="-2"/>
          <w:sz w:val="24"/>
          <w:szCs w:val="24"/>
          <w:highlight w:val="yellow"/>
        </w:rPr>
      </w:pPr>
    </w:p>
    <w:p w:rsidR="00860F4E" w:rsidRPr="00860F4E" w:rsidRDefault="00860F4E" w:rsidP="007371AD">
      <w:pPr>
        <w:spacing w:after="0" w:line="240" w:lineRule="auto"/>
        <w:ind w:firstLine="30"/>
        <w:jc w:val="both"/>
      </w:pPr>
    </w:p>
    <w:sectPr w:rsidR="00860F4E" w:rsidRPr="00860F4E" w:rsidSect="0075253D">
      <w:headerReference w:type="even" r:id="rId27"/>
      <w:headerReference w:type="default" r:id="rId28"/>
      <w:footerReference w:type="even" r:id="rId29"/>
      <w:footerReference w:type="default" r:id="rId30"/>
      <w:headerReference w:type="first" r:id="rId31"/>
      <w:footerReference w:type="first" r:id="rId32"/>
      <w:pgSz w:w="11907" w:h="16840"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238" w:rsidRDefault="008F3238" w:rsidP="00A4382C">
      <w:pPr>
        <w:spacing w:line="240" w:lineRule="auto"/>
      </w:pPr>
      <w:r>
        <w:separator/>
      </w:r>
    </w:p>
  </w:endnote>
  <w:endnote w:type="continuationSeparator" w:id="0">
    <w:p w:rsidR="008F3238" w:rsidRDefault="008F3238"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08" w:rsidRDefault="00ED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08" w:rsidRDefault="00ED0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578251"/>
      <w:docPartObj>
        <w:docPartGallery w:val="Page Numbers (Bottom of Page)"/>
        <w:docPartUnique/>
      </w:docPartObj>
    </w:sdtPr>
    <w:sdtEndPr>
      <w:rPr>
        <w:noProof/>
      </w:rPr>
    </w:sdtEndPr>
    <w:sdtContent>
      <w:p w:rsidR="00ED0408" w:rsidRDefault="00ED040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D0408" w:rsidRDefault="00ED04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08" w:rsidRDefault="00ED0408" w:rsidP="003E2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D0408" w:rsidRDefault="00ED0408" w:rsidP="003E2EB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08" w:rsidRDefault="00ED0408" w:rsidP="003E2EB4">
    <w:pPr>
      <w:pStyle w:val="Footer"/>
      <w:framePr w:wrap="around" w:vAnchor="text" w:hAnchor="margin" w:xAlign="right" w:y="1"/>
      <w:rPr>
        <w:rStyle w:val="PageNumber"/>
      </w:rPr>
    </w:pPr>
  </w:p>
  <w:p w:rsidR="00ED0408" w:rsidRDefault="00ED0408" w:rsidP="003E2EB4">
    <w:pPr>
      <w:pStyle w:val="Footer"/>
      <w:pBdr>
        <w:top w:val="thinThickSmallGap" w:sz="24" w:space="1" w:color="622423" w:themeColor="accent2" w:themeShade="7F"/>
      </w:pBdr>
      <w:spacing w:before="240"/>
      <w:rPr>
        <w:rFonts w:ascii="Arial" w:eastAsiaTheme="majorEastAsia" w:hAnsi="Arial" w:cs="Arial"/>
        <w:sz w:val="20"/>
        <w:szCs w:val="20"/>
      </w:rPr>
    </w:pPr>
    <w:r>
      <w:rPr>
        <w:rFonts w:ascii="Arial" w:eastAsiaTheme="majorEastAsia" w:hAnsi="Arial" w:cs="Arial"/>
        <w:sz w:val="20"/>
        <w:szCs w:val="20"/>
      </w:rPr>
      <w:t>Government of Western Australia – Submission to the 2018-19 Annual Wage Review</w:t>
    </w:r>
    <w:r>
      <w:rPr>
        <w:rFonts w:ascii="Arial" w:eastAsiaTheme="majorEastAsia" w:hAnsi="Arial" w:cs="Arial"/>
        <w:sz w:val="20"/>
        <w:szCs w:val="20"/>
      </w:rPr>
      <w:ptab w:relativeTo="margin" w:alignment="right" w:leader="none"/>
    </w:r>
    <w:r>
      <w:rPr>
        <w:rFonts w:ascii="Arial" w:eastAsiaTheme="majorEastAsia" w:hAnsi="Arial" w:cs="Arial"/>
        <w:sz w:val="20"/>
        <w:szCs w:val="20"/>
      </w:rPr>
      <w:t xml:space="preserve"> Page </w:t>
    </w:r>
    <w:r>
      <w:rPr>
        <w:rFonts w:ascii="Arial" w:eastAsiaTheme="minorEastAsia" w:hAnsi="Arial" w:cs="Arial"/>
        <w:sz w:val="20"/>
        <w:szCs w:val="20"/>
      </w:rPr>
      <w:fldChar w:fldCharType="begin"/>
    </w:r>
    <w:r>
      <w:rPr>
        <w:rFonts w:ascii="Arial" w:hAnsi="Arial" w:cs="Arial"/>
        <w:sz w:val="20"/>
        <w:szCs w:val="20"/>
      </w:rPr>
      <w:instrText xml:space="preserve"> PAGE   \* MERGEFORMAT </w:instrText>
    </w:r>
    <w:r>
      <w:rPr>
        <w:rFonts w:ascii="Arial" w:eastAsiaTheme="minorEastAsia" w:hAnsi="Arial" w:cs="Arial"/>
        <w:sz w:val="20"/>
        <w:szCs w:val="20"/>
      </w:rPr>
      <w:fldChar w:fldCharType="separate"/>
    </w:r>
    <w:r w:rsidR="00AE0857" w:rsidRPr="00AE0857">
      <w:rPr>
        <w:rFonts w:ascii="Arial" w:eastAsiaTheme="majorEastAsia" w:hAnsi="Arial" w:cs="Arial"/>
        <w:noProof/>
        <w:sz w:val="20"/>
        <w:szCs w:val="20"/>
      </w:rPr>
      <w:t>11</w:t>
    </w:r>
    <w:r>
      <w:rPr>
        <w:rFonts w:ascii="Arial" w:eastAsiaTheme="majorEastAsia" w:hAnsi="Arial" w:cs="Arial"/>
        <w:noProof/>
        <w:sz w:val="20"/>
        <w:szCs w:val="20"/>
      </w:rPr>
      <w:fldChar w:fldCharType="end"/>
    </w:r>
  </w:p>
  <w:p w:rsidR="00ED0408" w:rsidRDefault="00ED0408" w:rsidP="003E2EB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31" w:rsidRDefault="00AE08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B3" w:rsidRPr="00CC5FB3" w:rsidRDefault="00CC5FB3" w:rsidP="00CC5FB3">
    <w:pPr>
      <w:pStyle w:val="Footer"/>
      <w:rPr>
        <w:szCs w:val="16"/>
      </w:rPr>
    </w:pPr>
    <w:r>
      <w:rPr>
        <w:szCs w:val="16"/>
      </w:rPr>
      <w:ptab w:relativeTo="margin" w:alignment="right" w:leader="none"/>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E4" w:rsidRPr="0075253D" w:rsidRDefault="0075253D" w:rsidP="0075253D">
    <w:pPr>
      <w:pStyle w:val="Footer"/>
      <w:rPr>
        <w:szCs w:val="16"/>
      </w:rPr>
    </w:pPr>
    <w:r>
      <w:rPr>
        <w:szCs w:val="16"/>
      </w:rPr>
      <w:fldChar w:fldCharType="begin"/>
    </w:r>
    <w:r>
      <w:rPr>
        <w:szCs w:val="16"/>
      </w:rPr>
      <w:instrText xml:space="preserve"> FILENAME</w:instrText>
    </w:r>
    <w:r>
      <w:rPr>
        <w:szCs w:val="16"/>
      </w:rPr>
      <w:fldChar w:fldCharType="separate"/>
    </w:r>
    <w:r w:rsidR="008F3238">
      <w:rPr>
        <w:noProof/>
        <w:szCs w:val="16"/>
      </w:rPr>
      <w:t>Attachment A - Economic Outlook.docx</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8F3238">
      <w:rPr>
        <w:noProof/>
        <w:szCs w:val="16"/>
      </w:rPr>
      <w:t>8</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astValue="Departmental Use Only">
          <w:listItem w:value="[ReleaseClassification]"/>
        </w:dropDownList>
      </w:sdtPr>
      <w:sdtEndPr/>
      <w:sdtContent>
        <w:r>
          <w:rPr>
            <w:snapToGrid w:val="0"/>
            <w:szCs w:val="16"/>
          </w:rPr>
          <w:t>Departmental Use Only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238" w:rsidRDefault="008F3238" w:rsidP="006A48A5">
      <w:pPr>
        <w:spacing w:after="0" w:line="240" w:lineRule="auto"/>
      </w:pPr>
      <w:r>
        <w:separator/>
      </w:r>
    </w:p>
  </w:footnote>
  <w:footnote w:type="continuationSeparator" w:id="0">
    <w:p w:rsidR="008F3238" w:rsidRDefault="008F3238" w:rsidP="00A4382C">
      <w:pPr>
        <w:spacing w:line="240" w:lineRule="auto"/>
      </w:pPr>
      <w:r>
        <w:continuationSeparator/>
      </w:r>
    </w:p>
  </w:footnote>
  <w:footnote w:id="1">
    <w:p w:rsidR="00ED0408" w:rsidRPr="00175A79" w:rsidRDefault="00ED0408" w:rsidP="00630E22">
      <w:pPr>
        <w:pStyle w:val="FootnoteText"/>
        <w:ind w:left="284" w:hanging="284"/>
        <w:jc w:val="both"/>
        <w:rPr>
          <w:rFonts w:ascii="Arial" w:hAnsi="Arial" w:cs="Arial"/>
        </w:rPr>
      </w:pPr>
      <w:r w:rsidRPr="00175A79">
        <w:rPr>
          <w:rStyle w:val="FootnoteReference"/>
          <w:rFonts w:ascii="Arial" w:hAnsi="Arial" w:cs="Arial"/>
        </w:rPr>
        <w:footnoteRef/>
      </w:r>
      <w:r w:rsidRPr="00175A79">
        <w:rPr>
          <w:rFonts w:ascii="Arial" w:hAnsi="Arial" w:cs="Arial"/>
        </w:rPr>
        <w:t xml:space="preserve"> </w:t>
      </w:r>
      <w:r>
        <w:rPr>
          <w:rFonts w:ascii="Arial" w:hAnsi="Arial" w:cs="Arial"/>
        </w:rPr>
        <w:tab/>
      </w:r>
      <w:r w:rsidRPr="00175A79">
        <w:rPr>
          <w:rFonts w:ascii="Arial" w:hAnsi="Arial" w:cs="Arial"/>
        </w:rPr>
        <w:t xml:space="preserve">Section 134 of the </w:t>
      </w:r>
      <w:r w:rsidRPr="00175A79">
        <w:rPr>
          <w:rFonts w:ascii="Arial" w:hAnsi="Arial" w:cs="Arial"/>
          <w:i/>
        </w:rPr>
        <w:t>Fair Work Act 2009</w:t>
      </w:r>
      <w:r w:rsidRPr="00175A79">
        <w:rPr>
          <w:rFonts w:ascii="Arial" w:hAnsi="Arial" w:cs="Arial"/>
        </w:rPr>
        <w:t>.</w:t>
      </w:r>
    </w:p>
  </w:footnote>
  <w:footnote w:id="2">
    <w:p w:rsidR="001773C1" w:rsidRPr="007B33A4" w:rsidRDefault="001773C1" w:rsidP="00630E22">
      <w:pPr>
        <w:pStyle w:val="FootnoteText"/>
        <w:spacing w:after="60"/>
        <w:ind w:left="284" w:hanging="284"/>
        <w:jc w:val="both"/>
        <w:rPr>
          <w:rFonts w:ascii="Arial" w:hAnsi="Arial" w:cs="Arial"/>
        </w:rPr>
      </w:pPr>
      <w:r w:rsidRPr="007B33A4">
        <w:rPr>
          <w:rStyle w:val="FootnoteReference"/>
          <w:rFonts w:ascii="Arial" w:hAnsi="Arial" w:cs="Arial"/>
        </w:rPr>
        <w:footnoteRef/>
      </w:r>
      <w:r w:rsidRPr="007B33A4">
        <w:rPr>
          <w:rFonts w:ascii="Arial" w:hAnsi="Arial" w:cs="Arial"/>
        </w:rPr>
        <w:t xml:space="preserve"> </w:t>
      </w:r>
      <w:r>
        <w:rPr>
          <w:rFonts w:ascii="Arial" w:hAnsi="Arial" w:cs="Arial"/>
        </w:rPr>
        <w:tab/>
      </w:r>
      <w:r w:rsidRPr="006700F5">
        <w:rPr>
          <w:rFonts w:ascii="Arial" w:hAnsi="Arial" w:cs="Arial"/>
        </w:rPr>
        <w:t>Fair Work Commission (201</w:t>
      </w:r>
      <w:r>
        <w:rPr>
          <w:rFonts w:ascii="Arial" w:hAnsi="Arial" w:cs="Arial"/>
        </w:rPr>
        <w:t>8</w:t>
      </w:r>
      <w:r w:rsidRPr="006700F5">
        <w:rPr>
          <w:rFonts w:ascii="Arial" w:hAnsi="Arial" w:cs="Arial"/>
        </w:rPr>
        <w:t xml:space="preserve">), </w:t>
      </w:r>
      <w:r w:rsidRPr="006700F5">
        <w:rPr>
          <w:rFonts w:ascii="Arial" w:hAnsi="Arial" w:cs="Arial"/>
          <w:i/>
        </w:rPr>
        <w:t>Annual Wage Review 201</w:t>
      </w:r>
      <w:r>
        <w:rPr>
          <w:rFonts w:ascii="Arial" w:hAnsi="Arial" w:cs="Arial"/>
          <w:i/>
        </w:rPr>
        <w:t>7</w:t>
      </w:r>
      <w:r w:rsidRPr="006700F5">
        <w:rPr>
          <w:rFonts w:ascii="Arial" w:hAnsi="Arial" w:cs="Arial"/>
          <w:i/>
        </w:rPr>
        <w:t>-1</w:t>
      </w:r>
      <w:r>
        <w:rPr>
          <w:rFonts w:ascii="Arial" w:hAnsi="Arial" w:cs="Arial"/>
          <w:i/>
        </w:rPr>
        <w:t>8</w:t>
      </w:r>
      <w:r w:rsidRPr="006700F5">
        <w:rPr>
          <w:rFonts w:ascii="Arial" w:hAnsi="Arial" w:cs="Arial"/>
        </w:rPr>
        <w:t>, at [</w:t>
      </w:r>
      <w:r>
        <w:rPr>
          <w:rFonts w:ascii="Arial" w:hAnsi="Arial" w:cs="Arial"/>
        </w:rPr>
        <w:t>259</w:t>
      </w:r>
      <w:r w:rsidRPr="006700F5">
        <w:rPr>
          <w:rFonts w:ascii="Arial" w:hAnsi="Arial" w:cs="Arial"/>
        </w:rPr>
        <w:t>].</w:t>
      </w:r>
    </w:p>
  </w:footnote>
  <w:footnote w:id="3">
    <w:p w:rsidR="001773C1" w:rsidRPr="00425C52" w:rsidRDefault="001773C1" w:rsidP="00630E22">
      <w:pPr>
        <w:pStyle w:val="FootnoteText"/>
        <w:spacing w:before="60"/>
        <w:ind w:left="284" w:hanging="284"/>
        <w:jc w:val="both"/>
        <w:rPr>
          <w:rFonts w:ascii="Arial" w:hAnsi="Arial" w:cs="Arial"/>
        </w:rPr>
      </w:pPr>
      <w:r w:rsidRPr="003B159F">
        <w:rPr>
          <w:rStyle w:val="FootnoteReference"/>
          <w:rFonts w:ascii="Arial" w:hAnsi="Arial" w:cs="Arial"/>
        </w:rPr>
        <w:footnoteRef/>
      </w:r>
      <w:r w:rsidRPr="003B159F">
        <w:rPr>
          <w:rFonts w:ascii="Arial" w:hAnsi="Arial" w:cs="Arial"/>
        </w:rPr>
        <w:t xml:space="preserve"> </w:t>
      </w:r>
      <w:r w:rsidRPr="003B159F">
        <w:rPr>
          <w:rFonts w:ascii="Arial" w:hAnsi="Arial" w:cs="Arial"/>
        </w:rPr>
        <w:tab/>
        <w:t>A</w:t>
      </w:r>
      <w:r>
        <w:rPr>
          <w:rFonts w:ascii="Arial" w:hAnsi="Arial" w:cs="Arial"/>
        </w:rPr>
        <w:t xml:space="preserve">ustralian Bureau of Statistics (ABS) </w:t>
      </w:r>
      <w:r w:rsidRPr="003B159F">
        <w:rPr>
          <w:rFonts w:ascii="Arial" w:hAnsi="Arial" w:cs="Arial"/>
        </w:rPr>
        <w:t>(201</w:t>
      </w:r>
      <w:r>
        <w:rPr>
          <w:rFonts w:ascii="Arial" w:hAnsi="Arial" w:cs="Arial"/>
        </w:rPr>
        <w:t>9</w:t>
      </w:r>
      <w:r w:rsidRPr="003B159F">
        <w:rPr>
          <w:rFonts w:ascii="Arial" w:hAnsi="Arial" w:cs="Arial"/>
        </w:rPr>
        <w:t>)</w:t>
      </w:r>
      <w:r>
        <w:rPr>
          <w:rFonts w:ascii="Arial" w:hAnsi="Arial" w:cs="Arial"/>
        </w:rPr>
        <w:t>,</w:t>
      </w:r>
      <w:r w:rsidRPr="003B159F">
        <w:rPr>
          <w:rFonts w:ascii="Arial" w:hAnsi="Arial" w:cs="Arial"/>
        </w:rPr>
        <w:t xml:space="preserve"> </w:t>
      </w:r>
      <w:r w:rsidRPr="003B159F">
        <w:rPr>
          <w:rFonts w:ascii="Arial" w:hAnsi="Arial" w:cs="Arial"/>
          <w:i/>
        </w:rPr>
        <w:t xml:space="preserve">Labour Force, Australia, </w:t>
      </w:r>
      <w:r w:rsidR="00C646D7">
        <w:rPr>
          <w:rFonts w:ascii="Arial" w:hAnsi="Arial" w:cs="Arial"/>
          <w:i/>
        </w:rPr>
        <w:t>January 2019</w:t>
      </w:r>
      <w:r w:rsidRPr="003B159F">
        <w:rPr>
          <w:rFonts w:ascii="Arial" w:hAnsi="Arial" w:cs="Arial"/>
        </w:rPr>
        <w:t xml:space="preserve">, </w:t>
      </w:r>
      <w:r>
        <w:rPr>
          <w:rFonts w:ascii="Arial" w:hAnsi="Arial" w:cs="Arial"/>
        </w:rPr>
        <w:t>c</w:t>
      </w:r>
      <w:r w:rsidRPr="003B159F">
        <w:rPr>
          <w:rFonts w:ascii="Arial" w:hAnsi="Arial" w:cs="Arial"/>
        </w:rPr>
        <w:t>atalogue 6202.0 (</w:t>
      </w:r>
      <w:r>
        <w:rPr>
          <w:rFonts w:ascii="Arial" w:hAnsi="Arial" w:cs="Arial"/>
        </w:rPr>
        <w:t xml:space="preserve">seasonally adjust </w:t>
      </w:r>
      <w:r w:rsidRPr="003B159F">
        <w:rPr>
          <w:rFonts w:ascii="Arial" w:hAnsi="Arial" w:cs="Arial"/>
        </w:rPr>
        <w:t>data)</w:t>
      </w:r>
      <w:r w:rsidR="00C646D7">
        <w:rPr>
          <w:rFonts w:ascii="Arial" w:hAnsi="Arial" w:cs="Arial"/>
        </w:rPr>
        <w:t>, Table 1</w:t>
      </w:r>
      <w:r w:rsidRPr="003B159F">
        <w:rPr>
          <w:rFonts w:ascii="Arial" w:hAnsi="Arial" w:cs="Arial"/>
        </w:rPr>
        <w:t xml:space="preserve">. </w:t>
      </w:r>
    </w:p>
  </w:footnote>
  <w:footnote w:id="4">
    <w:p w:rsidR="00ED0408" w:rsidRPr="00270D2D" w:rsidRDefault="00ED0408" w:rsidP="00630E22">
      <w:pPr>
        <w:pStyle w:val="FootnoteText"/>
        <w:spacing w:before="60"/>
        <w:ind w:left="284" w:hanging="284"/>
        <w:jc w:val="both"/>
        <w:rPr>
          <w:rFonts w:asciiTheme="minorHAnsi" w:hAnsiTheme="minorHAnsi" w:cstheme="minorHAnsi"/>
        </w:rPr>
      </w:pPr>
      <w:r w:rsidRPr="00BA5B5A">
        <w:rPr>
          <w:rStyle w:val="FootnoteReference"/>
          <w:rFonts w:asciiTheme="minorHAnsi" w:hAnsiTheme="minorHAnsi" w:cstheme="minorHAnsi"/>
        </w:rPr>
        <w:footnoteRef/>
      </w:r>
      <w:r w:rsidRPr="00BA5B5A">
        <w:rPr>
          <w:rFonts w:asciiTheme="minorHAnsi" w:hAnsiTheme="minorHAnsi" w:cstheme="minorHAnsi"/>
        </w:rPr>
        <w:t xml:space="preserve"> </w:t>
      </w:r>
      <w:r w:rsidRPr="00BA5B5A">
        <w:rPr>
          <w:rFonts w:asciiTheme="minorHAnsi" w:hAnsiTheme="minorHAnsi" w:cstheme="minorHAnsi"/>
        </w:rPr>
        <w:tab/>
      </w:r>
      <w:r w:rsidR="00BA5B5A" w:rsidRPr="00BA5B5A">
        <w:rPr>
          <w:rFonts w:asciiTheme="minorHAnsi" w:hAnsiTheme="minorHAnsi" w:cstheme="minorHAnsi"/>
        </w:rPr>
        <w:t xml:space="preserve">Commonwealth, </w:t>
      </w:r>
      <w:r w:rsidR="00BA5B5A" w:rsidRPr="00BA5B5A">
        <w:rPr>
          <w:rFonts w:asciiTheme="minorHAnsi" w:hAnsiTheme="minorHAnsi" w:cstheme="minorHAnsi"/>
          <w:i/>
        </w:rPr>
        <w:t>Parliamentary Debates</w:t>
      </w:r>
      <w:r w:rsidR="00BA5B5A" w:rsidRPr="00BA5B5A">
        <w:rPr>
          <w:rFonts w:asciiTheme="minorHAnsi" w:hAnsiTheme="minorHAnsi" w:cstheme="minorHAnsi"/>
        </w:rPr>
        <w:t>, House of Representatives Standing Committee on Economics, 22 February 2019</w:t>
      </w:r>
      <w:r w:rsidR="00BA5B5A">
        <w:rPr>
          <w:rFonts w:asciiTheme="minorHAnsi" w:hAnsiTheme="minorHAnsi" w:cstheme="minorHAnsi"/>
        </w:rPr>
        <w:t xml:space="preserve">. </w:t>
      </w:r>
    </w:p>
  </w:footnote>
  <w:footnote w:id="5">
    <w:p w:rsidR="00ED0408" w:rsidRPr="003E2EB4" w:rsidRDefault="00ED0408" w:rsidP="00630E22">
      <w:pPr>
        <w:pStyle w:val="FootnoteText"/>
        <w:ind w:left="284" w:hanging="284"/>
        <w:jc w:val="both"/>
        <w:rPr>
          <w:rFonts w:asciiTheme="minorHAnsi" w:hAnsiTheme="minorHAnsi" w:cstheme="minorHAnsi"/>
        </w:rPr>
      </w:pPr>
      <w:r w:rsidRPr="003E2EB4">
        <w:rPr>
          <w:rStyle w:val="FootnoteReference"/>
          <w:rFonts w:asciiTheme="minorHAnsi" w:hAnsiTheme="minorHAnsi" w:cstheme="minorHAnsi"/>
        </w:rPr>
        <w:footnoteRef/>
      </w:r>
      <w:r w:rsidRPr="003E2EB4">
        <w:rPr>
          <w:rFonts w:asciiTheme="minorHAnsi" w:hAnsiTheme="minorHAnsi" w:cstheme="minorHAnsi"/>
          <w:vertAlign w:val="superscript"/>
        </w:rPr>
        <w:t xml:space="preserve"> </w:t>
      </w:r>
      <w:r w:rsidRPr="003E2EB4">
        <w:rPr>
          <w:rFonts w:asciiTheme="minorHAnsi" w:hAnsiTheme="minorHAnsi" w:cstheme="minorHAnsi"/>
        </w:rPr>
        <w:tab/>
        <w:t xml:space="preserve">Department of Treasury (2018), </w:t>
      </w:r>
      <w:r w:rsidRPr="003E2EB4">
        <w:rPr>
          <w:rFonts w:asciiTheme="minorHAnsi" w:hAnsiTheme="minorHAnsi" w:cstheme="minorHAnsi"/>
          <w:i/>
        </w:rPr>
        <w:t>2018-19 Government Mid-Year Financial Projections Statement.</w:t>
      </w:r>
    </w:p>
  </w:footnote>
  <w:footnote w:id="6">
    <w:p w:rsidR="00ED0408" w:rsidRPr="003E2EB4" w:rsidRDefault="00ED0408" w:rsidP="00630E22">
      <w:pPr>
        <w:pStyle w:val="FootnoteText"/>
        <w:spacing w:before="60"/>
        <w:ind w:left="284" w:hanging="284"/>
        <w:jc w:val="both"/>
        <w:rPr>
          <w:rFonts w:asciiTheme="minorHAnsi" w:hAnsiTheme="minorHAnsi" w:cstheme="minorHAnsi"/>
        </w:rPr>
      </w:pPr>
      <w:r w:rsidRPr="003E2EB4">
        <w:rPr>
          <w:rStyle w:val="FootnoteReference"/>
          <w:rFonts w:asciiTheme="minorHAnsi" w:hAnsiTheme="minorHAnsi" w:cstheme="minorHAnsi"/>
        </w:rPr>
        <w:footnoteRef/>
      </w:r>
      <w:r w:rsidRPr="003E2EB4">
        <w:rPr>
          <w:rFonts w:asciiTheme="minorHAnsi" w:hAnsiTheme="minorHAnsi" w:cstheme="minorHAnsi"/>
          <w:vertAlign w:val="superscript"/>
        </w:rPr>
        <w:t xml:space="preserve"> </w:t>
      </w:r>
      <w:r w:rsidRPr="003E2EB4">
        <w:rPr>
          <w:rFonts w:asciiTheme="minorHAnsi" w:hAnsiTheme="minorHAnsi" w:cstheme="minorHAnsi"/>
        </w:rPr>
        <w:tab/>
        <w:t xml:space="preserve">Business investment had declined each year since 2012-13, reducing the level of SFD. </w:t>
      </w:r>
    </w:p>
  </w:footnote>
  <w:footnote w:id="7">
    <w:p w:rsidR="00ED0408" w:rsidRPr="003E2EB4" w:rsidRDefault="00ED0408" w:rsidP="00630E22">
      <w:pPr>
        <w:pStyle w:val="FootnoteText"/>
        <w:spacing w:before="60"/>
        <w:ind w:left="284" w:hanging="284"/>
        <w:jc w:val="both"/>
        <w:rPr>
          <w:rFonts w:asciiTheme="minorHAnsi" w:hAnsiTheme="minorHAnsi" w:cstheme="minorHAnsi"/>
        </w:rPr>
      </w:pPr>
      <w:r w:rsidRPr="003E2EB4">
        <w:rPr>
          <w:rStyle w:val="FootnoteReference"/>
          <w:rFonts w:asciiTheme="minorHAnsi" w:hAnsiTheme="minorHAnsi" w:cstheme="minorHAnsi"/>
        </w:rPr>
        <w:footnoteRef/>
      </w:r>
      <w:r w:rsidRPr="003E2EB4">
        <w:rPr>
          <w:rFonts w:asciiTheme="minorHAnsi" w:hAnsiTheme="minorHAnsi" w:cstheme="minorHAnsi"/>
        </w:rPr>
        <w:t xml:space="preserve"> </w:t>
      </w:r>
      <w:r w:rsidRPr="003E2EB4">
        <w:rPr>
          <w:rFonts w:asciiTheme="minorHAnsi" w:hAnsiTheme="minorHAnsi" w:cstheme="minorHAnsi"/>
        </w:rPr>
        <w:tab/>
        <w:t xml:space="preserve">ABS (2018), </w:t>
      </w:r>
      <w:r w:rsidRPr="003E2EB4">
        <w:rPr>
          <w:rFonts w:asciiTheme="minorHAnsi" w:hAnsiTheme="minorHAnsi" w:cstheme="minorHAnsi"/>
          <w:i/>
        </w:rPr>
        <w:t xml:space="preserve">Labour Force, Australia, </w:t>
      </w:r>
      <w:r>
        <w:rPr>
          <w:rFonts w:asciiTheme="minorHAnsi" w:hAnsiTheme="minorHAnsi" w:cstheme="minorHAnsi"/>
          <w:i/>
        </w:rPr>
        <w:t>January</w:t>
      </w:r>
      <w:r w:rsidRPr="003E2EB4">
        <w:rPr>
          <w:rFonts w:asciiTheme="minorHAnsi" w:hAnsiTheme="minorHAnsi" w:cstheme="minorHAnsi"/>
          <w:i/>
        </w:rPr>
        <w:t xml:space="preserve"> 201</w:t>
      </w:r>
      <w:r>
        <w:rPr>
          <w:rFonts w:asciiTheme="minorHAnsi" w:hAnsiTheme="minorHAnsi" w:cstheme="minorHAnsi"/>
          <w:i/>
        </w:rPr>
        <w:t>9</w:t>
      </w:r>
      <w:r w:rsidRPr="003E2EB4">
        <w:rPr>
          <w:rFonts w:asciiTheme="minorHAnsi" w:hAnsiTheme="minorHAnsi" w:cstheme="minorHAnsi"/>
        </w:rPr>
        <w:t>, catalogue 6202.0 (seasonally adjusted data)</w:t>
      </w:r>
      <w:r w:rsidR="00C646D7">
        <w:rPr>
          <w:rFonts w:asciiTheme="minorHAnsi" w:hAnsiTheme="minorHAnsi" w:cstheme="minorHAnsi"/>
        </w:rPr>
        <w:t>, Table</w:t>
      </w:r>
      <w:r w:rsidR="00BA3FDA">
        <w:rPr>
          <w:rFonts w:asciiTheme="minorHAnsi" w:hAnsiTheme="minorHAnsi" w:cstheme="minorHAnsi"/>
        </w:rPr>
        <w:t> </w:t>
      </w:r>
      <w:r w:rsidR="00C646D7">
        <w:rPr>
          <w:rFonts w:asciiTheme="minorHAnsi" w:hAnsiTheme="minorHAnsi" w:cstheme="minorHAnsi"/>
        </w:rPr>
        <w:t>8</w:t>
      </w:r>
      <w:r w:rsidRPr="003E2EB4">
        <w:rPr>
          <w:rFonts w:asciiTheme="minorHAnsi" w:hAnsiTheme="minorHAnsi" w:cstheme="minorHAnsi"/>
        </w:rPr>
        <w:t xml:space="preserve">. </w:t>
      </w:r>
    </w:p>
  </w:footnote>
  <w:footnote w:id="8">
    <w:p w:rsidR="00ED0408" w:rsidRPr="00DB033C" w:rsidRDefault="00ED0408" w:rsidP="00630E22">
      <w:pPr>
        <w:pStyle w:val="FootnoteText"/>
        <w:spacing w:before="60"/>
        <w:ind w:left="284" w:hanging="284"/>
        <w:jc w:val="both"/>
        <w:rPr>
          <w:rFonts w:asciiTheme="minorHAnsi" w:hAnsiTheme="minorHAnsi" w:cstheme="minorHAnsi"/>
        </w:rPr>
      </w:pPr>
      <w:r w:rsidRPr="00DB033C">
        <w:rPr>
          <w:rStyle w:val="FootnoteReference"/>
          <w:rFonts w:asciiTheme="minorHAnsi" w:hAnsiTheme="minorHAnsi" w:cstheme="minorHAnsi"/>
        </w:rPr>
        <w:footnoteRef/>
      </w:r>
      <w:r w:rsidRPr="00DB033C">
        <w:rPr>
          <w:rFonts w:asciiTheme="minorHAnsi" w:hAnsiTheme="minorHAnsi" w:cstheme="minorHAnsi"/>
        </w:rPr>
        <w:t xml:space="preserve"> </w:t>
      </w:r>
      <w:r>
        <w:rPr>
          <w:rFonts w:asciiTheme="minorHAnsi" w:hAnsiTheme="minorHAnsi" w:cstheme="minorHAnsi"/>
        </w:rPr>
        <w:tab/>
      </w:r>
      <w:r w:rsidRPr="00DB033C">
        <w:rPr>
          <w:rFonts w:asciiTheme="minorHAnsi" w:hAnsiTheme="minorHAnsi" w:cstheme="minorHAnsi"/>
        </w:rPr>
        <w:t>Ibid.</w:t>
      </w:r>
    </w:p>
  </w:footnote>
  <w:footnote w:id="9">
    <w:p w:rsidR="00ED0408" w:rsidRPr="00A84E85" w:rsidRDefault="00ED0408" w:rsidP="00D121E5">
      <w:pPr>
        <w:pStyle w:val="FootnoteText"/>
        <w:ind w:left="284" w:hanging="284"/>
        <w:jc w:val="both"/>
        <w:rPr>
          <w:rFonts w:ascii="Arial" w:hAnsi="Arial" w:cs="Arial"/>
        </w:rPr>
      </w:pPr>
      <w:r w:rsidRPr="00A84E85">
        <w:rPr>
          <w:rStyle w:val="FootnoteReference"/>
          <w:rFonts w:ascii="Arial" w:hAnsi="Arial" w:cs="Arial"/>
        </w:rPr>
        <w:footnoteRef/>
      </w:r>
      <w:r w:rsidRPr="00A84E85">
        <w:rPr>
          <w:rFonts w:ascii="Arial" w:hAnsi="Arial" w:cs="Arial"/>
          <w:vertAlign w:val="superscript"/>
        </w:rPr>
        <w:t xml:space="preserve"> </w:t>
      </w:r>
      <w:r w:rsidRPr="00A84E85">
        <w:rPr>
          <w:rFonts w:ascii="Arial" w:hAnsi="Arial" w:cs="Arial"/>
          <w:vertAlign w:val="superscript"/>
        </w:rPr>
        <w:tab/>
      </w:r>
      <w:r w:rsidRPr="00A84E85">
        <w:rPr>
          <w:rFonts w:ascii="Arial" w:hAnsi="Arial" w:cs="Arial"/>
        </w:rPr>
        <w:t xml:space="preserve">ABS (2019), </w:t>
      </w:r>
      <w:r w:rsidRPr="00A84E85">
        <w:rPr>
          <w:rFonts w:ascii="Arial" w:hAnsi="Arial" w:cs="Arial"/>
          <w:i/>
        </w:rPr>
        <w:t>Wage Price Index, Australia, December 2018</w:t>
      </w:r>
      <w:r w:rsidRPr="00A84E85">
        <w:rPr>
          <w:rFonts w:ascii="Arial" w:hAnsi="Arial" w:cs="Arial"/>
        </w:rPr>
        <w:t>, catalogue 6345.0 (original data)</w:t>
      </w:r>
      <w:r w:rsidR="00C646D7">
        <w:rPr>
          <w:rFonts w:ascii="Arial" w:hAnsi="Arial" w:cs="Arial"/>
        </w:rPr>
        <w:t>, Tables 2b, 3b and 4b</w:t>
      </w:r>
      <w:r w:rsidRPr="00A84E85">
        <w:rPr>
          <w:rFonts w:ascii="Arial" w:hAnsi="Arial" w:cs="Arial"/>
        </w:rPr>
        <w:t xml:space="preserve">. Wages growth is expressed in annual average terms.   </w:t>
      </w:r>
    </w:p>
  </w:footnote>
  <w:footnote w:id="10">
    <w:p w:rsidR="00ED0408" w:rsidRPr="00862C18" w:rsidRDefault="00ED0408" w:rsidP="000D0504">
      <w:pPr>
        <w:pStyle w:val="FootnoteText"/>
        <w:spacing w:before="60"/>
        <w:ind w:left="284" w:hanging="284"/>
        <w:jc w:val="both"/>
        <w:rPr>
          <w:rFonts w:ascii="Arial" w:hAnsi="Arial" w:cs="Arial"/>
        </w:rPr>
      </w:pPr>
      <w:r w:rsidRPr="00756CED">
        <w:rPr>
          <w:rStyle w:val="FootnoteReference"/>
          <w:rFonts w:ascii="Arial" w:hAnsi="Arial" w:cs="Arial"/>
        </w:rPr>
        <w:footnoteRef/>
      </w:r>
      <w:r w:rsidRPr="00756CED">
        <w:rPr>
          <w:rFonts w:ascii="Arial" w:hAnsi="Arial" w:cs="Arial"/>
        </w:rPr>
        <w:t xml:space="preserve"> </w:t>
      </w:r>
      <w:r w:rsidRPr="00756CED">
        <w:rPr>
          <w:rFonts w:ascii="Arial" w:hAnsi="Arial" w:cs="Arial"/>
        </w:rPr>
        <w:tab/>
        <w:t xml:space="preserve">Department of Treasury (2018), </w:t>
      </w:r>
      <w:r w:rsidRPr="00756CED">
        <w:rPr>
          <w:rFonts w:ascii="Arial" w:hAnsi="Arial" w:cs="Arial"/>
          <w:i/>
        </w:rPr>
        <w:t>2018-19 Government Mid-Year Financial Projections Statement</w:t>
      </w:r>
      <w:r w:rsidRPr="00756CED">
        <w:rPr>
          <w:rFonts w:ascii="Arial" w:hAnsi="Arial" w:cs="Arial"/>
        </w:rPr>
        <w:t>.</w:t>
      </w:r>
    </w:p>
  </w:footnote>
  <w:footnote w:id="11">
    <w:p w:rsidR="00ED0408" w:rsidRPr="00C66AF0" w:rsidRDefault="00ED0408" w:rsidP="000D0504">
      <w:pPr>
        <w:pStyle w:val="FootnoteText"/>
        <w:spacing w:before="60"/>
        <w:ind w:left="284" w:hanging="284"/>
        <w:jc w:val="both"/>
        <w:rPr>
          <w:rFonts w:ascii="Arial" w:hAnsi="Arial" w:cs="Arial"/>
          <w:color w:val="000000" w:themeColor="text1"/>
        </w:rPr>
      </w:pPr>
      <w:r w:rsidRPr="00C66AF0">
        <w:rPr>
          <w:rStyle w:val="FootnoteReference"/>
          <w:rFonts w:ascii="Arial" w:hAnsi="Arial" w:cs="Arial"/>
          <w:color w:val="000000" w:themeColor="text1"/>
        </w:rPr>
        <w:footnoteRef/>
      </w:r>
      <w:r w:rsidRPr="00C66AF0">
        <w:rPr>
          <w:rFonts w:ascii="Arial" w:hAnsi="Arial" w:cs="Arial"/>
          <w:color w:val="000000" w:themeColor="text1"/>
        </w:rPr>
        <w:t xml:space="preserve"> </w:t>
      </w:r>
      <w:r w:rsidRPr="00C66AF0">
        <w:rPr>
          <w:rFonts w:ascii="Arial" w:hAnsi="Arial" w:cs="Arial"/>
          <w:color w:val="000000" w:themeColor="text1"/>
        </w:rPr>
        <w:tab/>
        <w:t>For the purposes of Section 51(xx) of the Australian Constitution, a “constitutional corporation” refers to “</w:t>
      </w:r>
      <w:r w:rsidRPr="00C66AF0">
        <w:rPr>
          <w:rFonts w:ascii="Arial" w:hAnsi="Arial" w:cs="Arial"/>
          <w:color w:val="000000" w:themeColor="text1"/>
          <w:shd w:val="clear" w:color="auto" w:fill="FFFFFF"/>
        </w:rPr>
        <w:t>foreign corporations, and trading or financial corporations formed within the limits of the Commonwealth”. Local governments may be deemed trading corporations, depending on the level of their trading activities.</w:t>
      </w:r>
    </w:p>
  </w:footnote>
  <w:footnote w:id="12">
    <w:p w:rsidR="00ED0408" w:rsidRPr="00602F5D" w:rsidRDefault="00ED0408" w:rsidP="00762EFD">
      <w:pPr>
        <w:pStyle w:val="FootnoteText"/>
        <w:spacing w:before="60"/>
        <w:ind w:left="284" w:hanging="284"/>
        <w:jc w:val="both"/>
        <w:rPr>
          <w:rFonts w:ascii="Arial" w:hAnsi="Arial" w:cs="Arial"/>
          <w:color w:val="000000" w:themeColor="text1"/>
        </w:rPr>
      </w:pPr>
      <w:r w:rsidRPr="00C66AF0">
        <w:rPr>
          <w:rStyle w:val="FootnoteReference"/>
          <w:rFonts w:ascii="Arial" w:hAnsi="Arial" w:cs="Arial"/>
          <w:color w:val="000000" w:themeColor="text1"/>
        </w:rPr>
        <w:footnoteRef/>
      </w:r>
      <w:r w:rsidRPr="00C66AF0">
        <w:rPr>
          <w:rFonts w:ascii="Arial" w:hAnsi="Arial" w:cs="Arial"/>
          <w:color w:val="000000" w:themeColor="text1"/>
        </w:rPr>
        <w:t xml:space="preserve"> </w:t>
      </w:r>
      <w:r w:rsidRPr="00C66AF0">
        <w:rPr>
          <w:rFonts w:ascii="Arial" w:hAnsi="Arial" w:cs="Arial"/>
          <w:color w:val="000000" w:themeColor="text1"/>
        </w:rPr>
        <w:tab/>
      </w:r>
      <w:r>
        <w:rPr>
          <w:rFonts w:ascii="Arial" w:hAnsi="Arial" w:cs="Arial"/>
          <w:color w:val="000000" w:themeColor="text1"/>
        </w:rPr>
        <w:t>A</w:t>
      </w:r>
      <w:r w:rsidRPr="00602F5D">
        <w:rPr>
          <w:rFonts w:ascii="Arial" w:hAnsi="Arial" w:cs="Arial"/>
          <w:color w:val="000000" w:themeColor="text1"/>
        </w:rPr>
        <w:t xml:space="preserve">BS (2011), </w:t>
      </w:r>
      <w:r w:rsidRPr="00602F5D">
        <w:rPr>
          <w:rFonts w:ascii="Arial" w:hAnsi="Arial" w:cs="Arial"/>
          <w:i/>
          <w:iCs/>
          <w:color w:val="000000" w:themeColor="text1"/>
        </w:rPr>
        <w:t xml:space="preserve">Employee Earnings and Hours, Australia, May 2010, </w:t>
      </w:r>
      <w:r>
        <w:rPr>
          <w:rFonts w:ascii="Arial" w:hAnsi="Arial" w:cs="Arial"/>
          <w:iCs/>
          <w:color w:val="000000" w:themeColor="text1"/>
        </w:rPr>
        <w:t>catalogue</w:t>
      </w:r>
      <w:r w:rsidRPr="00602F5D">
        <w:rPr>
          <w:rFonts w:ascii="Arial" w:hAnsi="Arial" w:cs="Arial"/>
          <w:iCs/>
          <w:color w:val="000000" w:themeColor="text1"/>
        </w:rPr>
        <w:t xml:space="preserve"> </w:t>
      </w:r>
      <w:r w:rsidRPr="00602F5D">
        <w:rPr>
          <w:rFonts w:ascii="Arial" w:hAnsi="Arial" w:cs="Arial"/>
          <w:color w:val="000000" w:themeColor="text1"/>
        </w:rPr>
        <w:t>6306.0, unpublished data</w:t>
      </w:r>
      <w:r>
        <w:rPr>
          <w:rFonts w:ascii="Arial" w:hAnsi="Arial" w:cs="Arial"/>
          <w:color w:val="000000" w:themeColor="text1"/>
        </w:rPr>
        <w:t xml:space="preserve">. </w:t>
      </w:r>
      <w:r w:rsidRPr="00602F5D">
        <w:rPr>
          <w:rFonts w:ascii="Arial" w:hAnsi="Arial" w:cs="Arial"/>
          <w:color w:val="000000" w:themeColor="text1"/>
        </w:rPr>
        <w:t xml:space="preserve">The </w:t>
      </w:r>
      <w:r>
        <w:rPr>
          <w:rFonts w:ascii="Arial" w:hAnsi="Arial" w:cs="Arial"/>
          <w:color w:val="000000" w:themeColor="text1"/>
        </w:rPr>
        <w:t xml:space="preserve">specific </w:t>
      </w:r>
      <w:r w:rsidRPr="00602F5D">
        <w:rPr>
          <w:rFonts w:ascii="Arial" w:hAnsi="Arial" w:cs="Arial"/>
          <w:color w:val="000000" w:themeColor="text1"/>
        </w:rPr>
        <w:t>EEH data obtained in 2010 is no longer produced by the ABS</w:t>
      </w:r>
      <w:r>
        <w:rPr>
          <w:rFonts w:ascii="Arial" w:hAnsi="Arial" w:cs="Arial"/>
          <w:color w:val="000000" w:themeColor="text1"/>
        </w:rPr>
        <w:t>;</w:t>
      </w:r>
      <w:r w:rsidRPr="00602F5D">
        <w:rPr>
          <w:rFonts w:ascii="Arial" w:hAnsi="Arial" w:cs="Arial"/>
          <w:color w:val="000000" w:themeColor="text1"/>
        </w:rPr>
        <w:t xml:space="preserve"> however</w:t>
      </w:r>
      <w:r>
        <w:rPr>
          <w:rFonts w:ascii="Arial" w:hAnsi="Arial" w:cs="Arial"/>
          <w:color w:val="000000" w:themeColor="text1"/>
        </w:rPr>
        <w:t>,</w:t>
      </w:r>
      <w:r w:rsidRPr="00602F5D">
        <w:rPr>
          <w:rFonts w:ascii="Arial" w:hAnsi="Arial" w:cs="Arial"/>
          <w:color w:val="000000" w:themeColor="text1"/>
        </w:rPr>
        <w:t xml:space="preserve"> it is </w:t>
      </w:r>
      <w:r w:rsidRPr="00602F5D">
        <w:rPr>
          <w:rFonts w:ascii="Arial" w:hAnsi="Arial" w:cs="Arial"/>
        </w:rPr>
        <w:t>unlikely that jurisdiction</w:t>
      </w:r>
      <w:r>
        <w:rPr>
          <w:rFonts w:ascii="Arial" w:hAnsi="Arial" w:cs="Arial"/>
        </w:rPr>
        <w:t>al</w:t>
      </w:r>
      <w:r w:rsidRPr="00602F5D">
        <w:rPr>
          <w:rFonts w:ascii="Arial" w:hAnsi="Arial" w:cs="Arial"/>
        </w:rPr>
        <w:t xml:space="preserve"> coverage has changed significantly since </w:t>
      </w:r>
      <w:r>
        <w:rPr>
          <w:rFonts w:ascii="Arial" w:hAnsi="Arial" w:cs="Arial"/>
        </w:rPr>
        <w:t>that time</w:t>
      </w:r>
      <w:r w:rsidRPr="00602F5D">
        <w:rPr>
          <w:rFonts w:ascii="Arial" w:hAnsi="Arial" w:cs="Arial"/>
        </w:rPr>
        <w:t>.</w:t>
      </w:r>
    </w:p>
  </w:footnote>
  <w:footnote w:id="13">
    <w:p w:rsidR="00C646D7" w:rsidRPr="00BA3FDA" w:rsidRDefault="00C646D7" w:rsidP="00630E22">
      <w:pPr>
        <w:pStyle w:val="FootnoteText"/>
        <w:ind w:left="284" w:hanging="284"/>
        <w:jc w:val="both"/>
        <w:rPr>
          <w:rFonts w:asciiTheme="minorHAnsi" w:hAnsiTheme="minorHAnsi" w:cstheme="minorHAnsi"/>
        </w:rPr>
      </w:pPr>
      <w:r w:rsidRPr="00BA3FDA">
        <w:rPr>
          <w:rStyle w:val="FootnoteReference"/>
          <w:rFonts w:asciiTheme="minorHAnsi" w:hAnsiTheme="minorHAnsi" w:cstheme="minorHAnsi"/>
        </w:rPr>
        <w:footnoteRef/>
      </w:r>
      <w:r w:rsidRPr="00BA3FDA">
        <w:rPr>
          <w:rFonts w:asciiTheme="minorHAnsi" w:hAnsiTheme="minorHAnsi" w:cstheme="minorHAnsi"/>
        </w:rPr>
        <w:t xml:space="preserve"> </w:t>
      </w:r>
      <w:r w:rsidR="00BA3FDA">
        <w:rPr>
          <w:rFonts w:asciiTheme="minorHAnsi" w:hAnsiTheme="minorHAnsi" w:cstheme="minorHAnsi"/>
        </w:rPr>
        <w:tab/>
      </w:r>
      <w:r w:rsidRPr="00BA3FDA">
        <w:rPr>
          <w:rFonts w:asciiTheme="minorHAnsi" w:hAnsiTheme="minorHAnsi" w:cstheme="minorHAnsi"/>
        </w:rPr>
        <w:t xml:space="preserve">ABS (2019) </w:t>
      </w:r>
      <w:r w:rsidRPr="00BA3FDA">
        <w:rPr>
          <w:rFonts w:asciiTheme="minorHAnsi" w:hAnsiTheme="minorHAnsi" w:cstheme="minorHAnsi"/>
          <w:i/>
        </w:rPr>
        <w:t>Employee, Earnings and Hours, Australia</w:t>
      </w:r>
      <w:r w:rsidRPr="00BA3FDA">
        <w:rPr>
          <w:rFonts w:asciiTheme="minorHAnsi" w:hAnsiTheme="minorHAnsi" w:cstheme="minorHAnsi"/>
        </w:rPr>
        <w:t xml:space="preserve">, </w:t>
      </w:r>
      <w:r w:rsidRPr="00BA3FDA">
        <w:rPr>
          <w:rFonts w:asciiTheme="minorHAnsi" w:hAnsiTheme="minorHAnsi" w:cstheme="minorHAnsi"/>
          <w:i/>
        </w:rPr>
        <w:t>May 2018</w:t>
      </w:r>
      <w:r w:rsidRPr="00BA3FDA">
        <w:rPr>
          <w:rFonts w:asciiTheme="minorHAnsi" w:hAnsiTheme="minorHAnsi" w:cstheme="minorHAnsi"/>
        </w:rPr>
        <w:t>, data cube 5</w:t>
      </w:r>
      <w:r>
        <w:rPr>
          <w:rFonts w:asciiTheme="minorHAnsi" w:hAnsiTheme="minorHAnsi" w:cstheme="minorHAnsi"/>
        </w:rPr>
        <w:t xml:space="preserve"> and ABS (2017) </w:t>
      </w:r>
      <w:r w:rsidRPr="00BA3FDA">
        <w:rPr>
          <w:rFonts w:asciiTheme="minorHAnsi" w:hAnsiTheme="minorHAnsi" w:cstheme="minorHAnsi"/>
          <w:i/>
        </w:rPr>
        <w:t>Employee Earnings and Hours, Australia, May 2016</w:t>
      </w:r>
      <w:r>
        <w:rPr>
          <w:rFonts w:asciiTheme="minorHAnsi" w:hAnsiTheme="minorHAnsi" w:cstheme="minorHAnsi"/>
        </w:rPr>
        <w:t>, data cube 5</w:t>
      </w:r>
      <w:r w:rsidRPr="00BA3FDA">
        <w:rPr>
          <w:rFonts w:asciiTheme="minorHAnsi" w:hAnsiTheme="minorHAnsi" w:cstheme="minorHAnsi"/>
        </w:rPr>
        <w:t>.</w:t>
      </w:r>
    </w:p>
  </w:footnote>
  <w:footnote w:id="14">
    <w:p w:rsidR="00ED0408" w:rsidRPr="004136AD" w:rsidRDefault="00ED0408" w:rsidP="00630E22">
      <w:pPr>
        <w:pStyle w:val="FootnoteText"/>
        <w:spacing w:before="60"/>
        <w:ind w:left="284" w:hanging="284"/>
        <w:jc w:val="both"/>
        <w:rPr>
          <w:rFonts w:ascii="Arial" w:hAnsi="Arial" w:cs="Arial"/>
        </w:rPr>
      </w:pPr>
      <w:r w:rsidRPr="004136AD">
        <w:rPr>
          <w:rStyle w:val="FootnoteReference"/>
          <w:rFonts w:ascii="Arial" w:hAnsi="Arial" w:cs="Arial"/>
        </w:rPr>
        <w:footnoteRef/>
      </w:r>
      <w:r w:rsidRPr="004136AD">
        <w:rPr>
          <w:rFonts w:ascii="Arial" w:hAnsi="Arial" w:cs="Arial"/>
        </w:rPr>
        <w:t xml:space="preserve"> </w:t>
      </w:r>
      <w:r>
        <w:rPr>
          <w:rFonts w:ascii="Arial" w:hAnsi="Arial" w:cs="Arial"/>
        </w:rPr>
        <w:tab/>
      </w:r>
      <w:r w:rsidRPr="004136AD">
        <w:rPr>
          <w:rFonts w:ascii="Arial" w:hAnsi="Arial" w:cs="Arial"/>
        </w:rPr>
        <w:t xml:space="preserve">Particularly as most public sector employees in Western Australia are paid under collective agreements. </w:t>
      </w:r>
    </w:p>
  </w:footnote>
  <w:footnote w:id="15">
    <w:p w:rsidR="00ED0408" w:rsidRPr="00904615" w:rsidRDefault="00ED0408" w:rsidP="00630E22">
      <w:pPr>
        <w:spacing w:before="60" w:after="0" w:line="240" w:lineRule="auto"/>
        <w:ind w:left="284" w:hanging="284"/>
        <w:jc w:val="both"/>
        <w:rPr>
          <w:rFonts w:ascii="Arial" w:hAnsi="Arial" w:cs="Arial"/>
          <w:sz w:val="20"/>
          <w:szCs w:val="20"/>
        </w:rPr>
      </w:pPr>
      <w:r w:rsidRPr="00067519">
        <w:rPr>
          <w:rStyle w:val="FootnoteReference"/>
          <w:rFonts w:ascii="Arial" w:hAnsi="Arial" w:cs="Arial"/>
          <w:sz w:val="20"/>
          <w:szCs w:val="20"/>
        </w:rPr>
        <w:footnoteRef/>
      </w:r>
      <w:r w:rsidRPr="00067519">
        <w:rPr>
          <w:rFonts w:ascii="Arial" w:hAnsi="Arial" w:cs="Arial"/>
          <w:sz w:val="20"/>
          <w:szCs w:val="20"/>
        </w:rPr>
        <w:t xml:space="preserve"> </w:t>
      </w:r>
      <w:r w:rsidRPr="00067519">
        <w:rPr>
          <w:rFonts w:ascii="Arial" w:hAnsi="Arial" w:cs="Arial"/>
          <w:sz w:val="20"/>
          <w:szCs w:val="20"/>
        </w:rPr>
        <w:tab/>
      </w:r>
      <w:r>
        <w:rPr>
          <w:rFonts w:ascii="Arial" w:hAnsi="Arial" w:cs="Arial"/>
          <w:sz w:val="20"/>
          <w:szCs w:val="20"/>
        </w:rPr>
        <w:t>A</w:t>
      </w:r>
      <w:r w:rsidRPr="00067519">
        <w:rPr>
          <w:rFonts w:ascii="Arial" w:hAnsi="Arial" w:cs="Arial"/>
          <w:sz w:val="20"/>
          <w:szCs w:val="20"/>
        </w:rPr>
        <w:t>BS (201</w:t>
      </w:r>
      <w:r w:rsidR="00A463FC">
        <w:rPr>
          <w:rFonts w:ascii="Arial" w:hAnsi="Arial" w:cs="Arial"/>
          <w:sz w:val="20"/>
          <w:szCs w:val="20"/>
        </w:rPr>
        <w:t>9</w:t>
      </w:r>
      <w:r w:rsidRPr="00067519">
        <w:rPr>
          <w:rFonts w:ascii="Arial" w:hAnsi="Arial" w:cs="Arial"/>
          <w:sz w:val="20"/>
          <w:szCs w:val="20"/>
        </w:rPr>
        <w:t>),</w:t>
      </w:r>
      <w:r w:rsidRPr="00067519">
        <w:rPr>
          <w:rFonts w:ascii="Arial" w:hAnsi="Arial" w:cs="Arial"/>
          <w:i/>
          <w:sz w:val="20"/>
          <w:szCs w:val="20"/>
        </w:rPr>
        <w:t xml:space="preserve"> Employee Earnings and Hours, Australia, May 201</w:t>
      </w:r>
      <w:r w:rsidR="00A463FC">
        <w:rPr>
          <w:rFonts w:ascii="Arial" w:hAnsi="Arial" w:cs="Arial"/>
          <w:i/>
          <w:sz w:val="20"/>
          <w:szCs w:val="20"/>
        </w:rPr>
        <w:t>8</w:t>
      </w:r>
      <w:r w:rsidRPr="00067519">
        <w:rPr>
          <w:rFonts w:ascii="Arial" w:hAnsi="Arial" w:cs="Arial"/>
          <w:sz w:val="20"/>
          <w:szCs w:val="20"/>
        </w:rPr>
        <w:t xml:space="preserve">, </w:t>
      </w:r>
      <w:r>
        <w:rPr>
          <w:rFonts w:ascii="Arial" w:hAnsi="Arial" w:cs="Arial"/>
          <w:sz w:val="20"/>
          <w:szCs w:val="20"/>
        </w:rPr>
        <w:t>catalogue</w:t>
      </w:r>
      <w:r w:rsidRPr="00067519">
        <w:rPr>
          <w:rFonts w:ascii="Arial" w:hAnsi="Arial" w:cs="Arial"/>
          <w:sz w:val="20"/>
          <w:szCs w:val="20"/>
        </w:rPr>
        <w:t xml:space="preserve"> 6306.0, Datacube 5, Table</w:t>
      </w:r>
      <w:r>
        <w:rPr>
          <w:rFonts w:ascii="Arial" w:hAnsi="Arial" w:cs="Arial"/>
          <w:sz w:val="20"/>
          <w:szCs w:val="20"/>
        </w:rPr>
        <w:t> </w:t>
      </w:r>
      <w:r w:rsidRPr="00067519">
        <w:rPr>
          <w:rFonts w:ascii="Arial" w:hAnsi="Arial" w:cs="Arial"/>
          <w:sz w:val="20"/>
          <w:szCs w:val="20"/>
        </w:rPr>
        <w:t>5; and ABS (201</w:t>
      </w:r>
      <w:r w:rsidR="00A463FC">
        <w:rPr>
          <w:rFonts w:ascii="Arial" w:hAnsi="Arial" w:cs="Arial"/>
          <w:sz w:val="20"/>
          <w:szCs w:val="20"/>
        </w:rPr>
        <w:t>7</w:t>
      </w:r>
      <w:r w:rsidRPr="00067519">
        <w:rPr>
          <w:rFonts w:ascii="Arial" w:hAnsi="Arial" w:cs="Arial"/>
          <w:sz w:val="20"/>
          <w:szCs w:val="20"/>
        </w:rPr>
        <w:t xml:space="preserve">), </w:t>
      </w:r>
      <w:r w:rsidRPr="00067519">
        <w:rPr>
          <w:rFonts w:ascii="Arial" w:hAnsi="Arial" w:cs="Arial"/>
          <w:i/>
          <w:sz w:val="20"/>
          <w:szCs w:val="20"/>
        </w:rPr>
        <w:t>Employee Earnings and Hours, Australia, May 201</w:t>
      </w:r>
      <w:r w:rsidR="00A463FC">
        <w:rPr>
          <w:rFonts w:ascii="Arial" w:hAnsi="Arial" w:cs="Arial"/>
          <w:i/>
          <w:sz w:val="20"/>
          <w:szCs w:val="20"/>
        </w:rPr>
        <w:t>6</w:t>
      </w:r>
      <w:r w:rsidRPr="00067519">
        <w:rPr>
          <w:rFonts w:ascii="Arial" w:hAnsi="Arial" w:cs="Arial"/>
          <w:sz w:val="20"/>
          <w:szCs w:val="20"/>
        </w:rPr>
        <w:t xml:space="preserve">, </w:t>
      </w:r>
      <w:r>
        <w:rPr>
          <w:rFonts w:ascii="Arial" w:hAnsi="Arial" w:cs="Arial"/>
          <w:sz w:val="20"/>
          <w:szCs w:val="20"/>
        </w:rPr>
        <w:t xml:space="preserve">catalogue </w:t>
      </w:r>
      <w:r w:rsidRPr="00067519">
        <w:rPr>
          <w:rFonts w:ascii="Arial" w:hAnsi="Arial" w:cs="Arial"/>
          <w:sz w:val="20"/>
          <w:szCs w:val="20"/>
        </w:rPr>
        <w:t xml:space="preserve">6306.0, Datacube 5, Table 5. </w:t>
      </w:r>
      <w:r>
        <w:rPr>
          <w:rFonts w:ascii="Arial" w:hAnsi="Arial" w:cs="Arial"/>
          <w:sz w:val="20"/>
          <w:szCs w:val="20"/>
        </w:rPr>
        <w:t>I</w:t>
      </w:r>
      <w:r w:rsidRPr="00067519">
        <w:rPr>
          <w:rFonts w:ascii="Arial" w:hAnsi="Arial" w:cs="Arial"/>
          <w:sz w:val="20"/>
          <w:szCs w:val="20"/>
        </w:rPr>
        <w:t>n some State industrial relations jurisdictions awards perform the function of collective agreements, which can have the effect of elevating the number of ‘award only’</w:t>
      </w:r>
      <w:r w:rsidRPr="00904615">
        <w:rPr>
          <w:rFonts w:ascii="Arial" w:hAnsi="Arial" w:cs="Arial"/>
          <w:sz w:val="20"/>
          <w:szCs w:val="20"/>
        </w:rPr>
        <w:t xml:space="preserve"> employees. </w:t>
      </w:r>
    </w:p>
  </w:footnote>
  <w:footnote w:id="16">
    <w:p w:rsidR="00E369CB" w:rsidRPr="00E369CB" w:rsidRDefault="00E369CB" w:rsidP="00E369CB">
      <w:pPr>
        <w:pStyle w:val="FootnoteText"/>
        <w:ind w:left="284" w:hanging="284"/>
        <w:jc w:val="both"/>
        <w:rPr>
          <w:rFonts w:ascii="Arial" w:hAnsi="Arial" w:cs="Arial"/>
        </w:rPr>
      </w:pPr>
      <w:r w:rsidRPr="00E369CB">
        <w:rPr>
          <w:rStyle w:val="FootnoteReference"/>
          <w:rFonts w:ascii="Arial" w:hAnsi="Arial" w:cs="Arial"/>
        </w:rPr>
        <w:footnoteRef/>
      </w:r>
      <w:r w:rsidRPr="00E369CB">
        <w:rPr>
          <w:rFonts w:ascii="Arial" w:hAnsi="Arial" w:cs="Arial"/>
        </w:rPr>
        <w:t xml:space="preserve"> </w:t>
      </w:r>
      <w:r>
        <w:rPr>
          <w:rFonts w:ascii="Arial" w:hAnsi="Arial" w:cs="Arial"/>
        </w:rPr>
        <w:tab/>
      </w:r>
      <w:r w:rsidRPr="00E369CB">
        <w:rPr>
          <w:rFonts w:ascii="Arial" w:hAnsi="Arial" w:cs="Arial"/>
        </w:rPr>
        <w:t xml:space="preserve">ABS (2018), </w:t>
      </w:r>
      <w:r w:rsidRPr="0046579E">
        <w:rPr>
          <w:rFonts w:ascii="Arial" w:hAnsi="Arial" w:cs="Arial"/>
          <w:i/>
        </w:rPr>
        <w:t>Labour Force, Australia, Detailed Quarterly, November 2018</w:t>
      </w:r>
      <w:r w:rsidRPr="00E369CB">
        <w:rPr>
          <w:rFonts w:ascii="Arial" w:hAnsi="Arial" w:cs="Arial"/>
        </w:rPr>
        <w:t>, catalogue 6291.0.55.003, Datacube EQ06 (original data). The share of the Western Australian workforce employed in most industries is lower than it is at the national level due to the significance of the Mining industry in the State.</w:t>
      </w:r>
    </w:p>
  </w:footnote>
  <w:footnote w:id="17">
    <w:p w:rsidR="00E369CB" w:rsidRPr="00E369CB" w:rsidRDefault="00E369CB" w:rsidP="00F30BCA">
      <w:pPr>
        <w:pStyle w:val="FootnoteText"/>
        <w:spacing w:before="60"/>
        <w:ind w:left="284" w:hanging="284"/>
        <w:jc w:val="both"/>
        <w:rPr>
          <w:rFonts w:ascii="Arial" w:hAnsi="Arial" w:cs="Arial"/>
        </w:rPr>
      </w:pPr>
      <w:r w:rsidRPr="00E369CB">
        <w:rPr>
          <w:rStyle w:val="FootnoteReference"/>
          <w:rFonts w:ascii="Arial" w:hAnsi="Arial" w:cs="Arial"/>
        </w:rPr>
        <w:footnoteRef/>
      </w:r>
      <w:r w:rsidRPr="00E369CB">
        <w:rPr>
          <w:rFonts w:ascii="Arial" w:hAnsi="Arial" w:cs="Arial"/>
        </w:rPr>
        <w:t xml:space="preserve"> </w:t>
      </w:r>
      <w:r w:rsidR="00F30BCA">
        <w:rPr>
          <w:rFonts w:ascii="Arial" w:hAnsi="Arial" w:cs="Arial"/>
        </w:rPr>
        <w:tab/>
      </w:r>
      <w:r w:rsidRPr="00E369CB">
        <w:rPr>
          <w:rFonts w:ascii="Arial" w:hAnsi="Arial" w:cs="Arial"/>
        </w:rPr>
        <w:t xml:space="preserve">ABS (2019), </w:t>
      </w:r>
      <w:r w:rsidRPr="00F30BCA">
        <w:rPr>
          <w:rFonts w:ascii="Arial" w:hAnsi="Arial" w:cs="Arial"/>
          <w:i/>
        </w:rPr>
        <w:t>Employee Earnings and Hours, Australia, May 2018</w:t>
      </w:r>
      <w:r w:rsidRPr="00E369CB">
        <w:rPr>
          <w:rFonts w:ascii="Arial" w:hAnsi="Arial" w:cs="Arial"/>
        </w:rPr>
        <w:t>, catalogue 6306.0, Datacube 5, Table</w:t>
      </w:r>
      <w:r w:rsidR="00F30BCA">
        <w:rPr>
          <w:rFonts w:ascii="Arial" w:hAnsi="Arial" w:cs="Arial"/>
        </w:rPr>
        <w:t> </w:t>
      </w:r>
      <w:r w:rsidRPr="00E369CB">
        <w:rPr>
          <w:rFonts w:ascii="Arial" w:hAnsi="Arial" w:cs="Arial"/>
        </w:rPr>
        <w:t xml:space="preserve">4. </w:t>
      </w:r>
    </w:p>
  </w:footnote>
  <w:footnote w:id="18">
    <w:p w:rsidR="00ED0408" w:rsidRPr="00E57F78" w:rsidRDefault="00ED0408" w:rsidP="00FB2139">
      <w:pPr>
        <w:pStyle w:val="FootnoteText"/>
        <w:spacing w:before="60"/>
        <w:ind w:left="284" w:hanging="284"/>
        <w:jc w:val="both"/>
        <w:rPr>
          <w:rFonts w:asciiTheme="minorHAnsi" w:hAnsiTheme="minorHAnsi" w:cstheme="minorHAnsi"/>
        </w:rPr>
      </w:pPr>
      <w:r w:rsidRPr="00E57F78">
        <w:rPr>
          <w:rStyle w:val="FootnoteReference"/>
          <w:rFonts w:asciiTheme="minorHAnsi" w:hAnsiTheme="minorHAnsi" w:cstheme="minorHAnsi"/>
        </w:rPr>
        <w:footnoteRef/>
      </w:r>
      <w:r w:rsidRPr="00E57F78">
        <w:rPr>
          <w:rFonts w:asciiTheme="minorHAnsi" w:hAnsiTheme="minorHAnsi" w:cstheme="minorHAnsi"/>
        </w:rPr>
        <w:t xml:space="preserve"> </w:t>
      </w:r>
      <w:r>
        <w:rPr>
          <w:rFonts w:asciiTheme="minorHAnsi" w:hAnsiTheme="minorHAnsi" w:cstheme="minorHAnsi"/>
        </w:rPr>
        <w:tab/>
      </w:r>
      <w:r w:rsidRPr="00E57F78">
        <w:rPr>
          <w:rFonts w:asciiTheme="minorHAnsi" w:hAnsiTheme="minorHAnsi" w:cstheme="minorHAnsi"/>
        </w:rPr>
        <w:t xml:space="preserve">It is acknowledged that some penalty rate increases are </w:t>
      </w:r>
      <w:r>
        <w:rPr>
          <w:rFonts w:asciiTheme="minorHAnsi" w:hAnsiTheme="minorHAnsi" w:cstheme="minorHAnsi"/>
        </w:rPr>
        <w:t xml:space="preserve">also </w:t>
      </w:r>
      <w:r w:rsidRPr="00E57F78">
        <w:rPr>
          <w:rFonts w:asciiTheme="minorHAnsi" w:hAnsiTheme="minorHAnsi" w:cstheme="minorHAnsi"/>
        </w:rPr>
        <w:t xml:space="preserve">being phased in for casual employees under the </w:t>
      </w:r>
      <w:r w:rsidRPr="002D23C5">
        <w:rPr>
          <w:rFonts w:asciiTheme="minorHAnsi" w:hAnsiTheme="minorHAnsi" w:cstheme="minorHAnsi"/>
          <w:i/>
        </w:rPr>
        <w:t>General Retail Industry Award 2010</w:t>
      </w:r>
      <w:r w:rsidRPr="00E57F78">
        <w:rPr>
          <w:rFonts w:asciiTheme="minorHAnsi" w:hAnsiTheme="minorHAnsi" w:cstheme="minorHAnsi"/>
        </w:rPr>
        <w:t xml:space="preserve">. </w:t>
      </w:r>
    </w:p>
  </w:footnote>
  <w:footnote w:id="19">
    <w:p w:rsidR="00ED0408" w:rsidRPr="00762BFC" w:rsidRDefault="00ED0408" w:rsidP="00BE3859">
      <w:pPr>
        <w:pStyle w:val="FootnoteText"/>
        <w:ind w:left="284" w:hanging="284"/>
        <w:jc w:val="both"/>
        <w:rPr>
          <w:rFonts w:ascii="Arial" w:hAnsi="Arial" w:cs="Arial"/>
        </w:rPr>
      </w:pPr>
      <w:r w:rsidRPr="00762BFC">
        <w:rPr>
          <w:rStyle w:val="FootnoteReference"/>
          <w:rFonts w:ascii="Arial" w:hAnsi="Arial" w:cs="Arial"/>
        </w:rPr>
        <w:footnoteRef/>
      </w:r>
      <w:r w:rsidRPr="00762BFC">
        <w:rPr>
          <w:rFonts w:ascii="Arial" w:hAnsi="Arial" w:cs="Arial"/>
        </w:rPr>
        <w:t xml:space="preserve"> </w:t>
      </w:r>
      <w:r>
        <w:rPr>
          <w:rFonts w:ascii="Arial" w:hAnsi="Arial" w:cs="Arial"/>
        </w:rPr>
        <w:tab/>
        <w:t xml:space="preserve">Department of Jobs and Small Business (2018), </w:t>
      </w:r>
      <w:r w:rsidRPr="000440D0">
        <w:rPr>
          <w:rFonts w:ascii="Arial" w:hAnsi="Arial" w:cs="Arial"/>
          <w:i/>
        </w:rPr>
        <w:t>Trends in Federal Enterprise Bargaining Report</w:t>
      </w:r>
      <w:r>
        <w:rPr>
          <w:rFonts w:ascii="Arial" w:hAnsi="Arial" w:cs="Arial"/>
        </w:rPr>
        <w:t xml:space="preserve">, September Quarter 2018. </w:t>
      </w:r>
    </w:p>
  </w:footnote>
  <w:footnote w:id="20">
    <w:p w:rsidR="00ED0408" w:rsidRPr="004C2A74" w:rsidRDefault="00ED0408" w:rsidP="00FB2139">
      <w:pPr>
        <w:pStyle w:val="FootnoteText"/>
        <w:spacing w:before="60"/>
        <w:ind w:left="284" w:hanging="284"/>
        <w:jc w:val="both"/>
        <w:rPr>
          <w:rFonts w:ascii="Arial" w:hAnsi="Arial" w:cs="Arial"/>
        </w:rPr>
      </w:pPr>
      <w:r w:rsidRPr="004C2A74">
        <w:rPr>
          <w:rStyle w:val="FootnoteReference"/>
          <w:rFonts w:ascii="Arial" w:hAnsi="Arial" w:cs="Arial"/>
        </w:rPr>
        <w:footnoteRef/>
      </w:r>
      <w:r w:rsidRPr="004C2A74">
        <w:rPr>
          <w:rFonts w:ascii="Arial" w:hAnsi="Arial" w:cs="Arial"/>
        </w:rPr>
        <w:t xml:space="preserve"> </w:t>
      </w:r>
      <w:r>
        <w:rPr>
          <w:rFonts w:ascii="Arial" w:hAnsi="Arial" w:cs="Arial"/>
        </w:rPr>
        <w:tab/>
      </w:r>
      <w:r w:rsidRPr="004C2A74">
        <w:rPr>
          <w:rFonts w:ascii="Arial" w:hAnsi="Arial" w:cs="Arial"/>
        </w:rPr>
        <w:t xml:space="preserve">This figure </w:t>
      </w:r>
      <w:r>
        <w:rPr>
          <w:rFonts w:ascii="Arial" w:hAnsi="Arial" w:cs="Arial"/>
        </w:rPr>
        <w:t>e</w:t>
      </w:r>
      <w:r w:rsidRPr="004C2A74">
        <w:rPr>
          <w:rFonts w:ascii="Arial" w:hAnsi="Arial" w:cs="Arial"/>
        </w:rPr>
        <w:t xml:space="preserve">xcludes Western Australian employees working under multi-state agreements. </w:t>
      </w:r>
    </w:p>
  </w:footnote>
  <w:footnote w:id="21">
    <w:p w:rsidR="00ED0408" w:rsidRPr="002707FB" w:rsidRDefault="00ED0408" w:rsidP="00FB2139">
      <w:pPr>
        <w:pStyle w:val="FootnoteText"/>
        <w:spacing w:before="60"/>
        <w:ind w:left="284" w:hanging="284"/>
        <w:jc w:val="both"/>
        <w:rPr>
          <w:rFonts w:ascii="Arial" w:hAnsi="Arial" w:cs="Arial"/>
        </w:rPr>
      </w:pPr>
      <w:r w:rsidRPr="002707FB">
        <w:rPr>
          <w:rStyle w:val="FootnoteReference"/>
          <w:rFonts w:ascii="Arial" w:hAnsi="Arial" w:cs="Arial"/>
        </w:rPr>
        <w:footnoteRef/>
      </w:r>
      <w:r w:rsidRPr="002707FB">
        <w:rPr>
          <w:rFonts w:ascii="Arial" w:hAnsi="Arial" w:cs="Arial"/>
        </w:rPr>
        <w:t xml:space="preserve"> </w:t>
      </w:r>
      <w:r>
        <w:rPr>
          <w:rFonts w:ascii="Arial" w:hAnsi="Arial" w:cs="Arial"/>
        </w:rPr>
        <w:tab/>
      </w:r>
      <w:r w:rsidRPr="002707FB">
        <w:rPr>
          <w:rFonts w:ascii="Arial" w:hAnsi="Arial" w:cs="Arial"/>
        </w:rPr>
        <w:t xml:space="preserve">Pursuant to section 206 of </w:t>
      </w:r>
      <w:r w:rsidRPr="002707FB">
        <w:rPr>
          <w:rFonts w:ascii="Arial" w:hAnsi="Arial" w:cs="Arial"/>
          <w:i/>
        </w:rPr>
        <w:t>Fair Work Act 2009</w:t>
      </w:r>
      <w:r w:rsidRPr="002707FB">
        <w:rPr>
          <w:rFonts w:ascii="Arial" w:hAnsi="Arial" w:cs="Arial"/>
        </w:rPr>
        <w:t xml:space="preserve"> base wages in enterprise agreements cannot fall below </w:t>
      </w:r>
      <w:r>
        <w:rPr>
          <w:rFonts w:ascii="Arial" w:hAnsi="Arial" w:cs="Arial"/>
        </w:rPr>
        <w:t xml:space="preserve">the </w:t>
      </w:r>
      <w:r w:rsidRPr="002707FB">
        <w:rPr>
          <w:rFonts w:ascii="Arial" w:hAnsi="Arial" w:cs="Arial"/>
        </w:rPr>
        <w:t xml:space="preserve">base rates of pay in any federal award that </w:t>
      </w:r>
      <w:r>
        <w:rPr>
          <w:rFonts w:ascii="Arial" w:hAnsi="Arial" w:cs="Arial"/>
        </w:rPr>
        <w:t xml:space="preserve">is applicable to the employee. </w:t>
      </w:r>
    </w:p>
  </w:footnote>
  <w:footnote w:id="22">
    <w:p w:rsidR="00ED0408" w:rsidRPr="00640CE3" w:rsidRDefault="00ED0408" w:rsidP="005159A1">
      <w:pPr>
        <w:pStyle w:val="FootnoteText"/>
        <w:spacing w:before="60"/>
        <w:ind w:left="284" w:hanging="284"/>
        <w:jc w:val="both"/>
        <w:rPr>
          <w:rFonts w:asciiTheme="minorHAnsi" w:hAnsiTheme="minorHAnsi" w:cstheme="minorHAnsi"/>
          <w:color w:val="000000" w:themeColor="text1"/>
        </w:rPr>
      </w:pPr>
      <w:r w:rsidRPr="00640CE3">
        <w:rPr>
          <w:rStyle w:val="FootnoteReference"/>
          <w:rFonts w:asciiTheme="minorHAnsi" w:hAnsiTheme="minorHAnsi" w:cstheme="minorHAnsi"/>
          <w:color w:val="000000" w:themeColor="text1"/>
        </w:rPr>
        <w:footnoteRef/>
      </w:r>
      <w:r w:rsidRPr="00640CE3">
        <w:rPr>
          <w:rFonts w:asciiTheme="minorHAnsi" w:hAnsiTheme="minorHAnsi" w:cstheme="minorHAnsi"/>
          <w:color w:val="000000" w:themeColor="text1"/>
        </w:rPr>
        <w:t xml:space="preserve"> </w:t>
      </w:r>
      <w:r w:rsidRPr="00640CE3">
        <w:rPr>
          <w:rFonts w:asciiTheme="minorHAnsi" w:hAnsiTheme="minorHAnsi" w:cstheme="minorHAnsi"/>
          <w:color w:val="000000" w:themeColor="text1"/>
        </w:rPr>
        <w:tab/>
        <w:t xml:space="preserve">Such agreements appear to have become more common since the decision of the Full Bench of the FWC not to approve the </w:t>
      </w:r>
      <w:r w:rsidRPr="00640CE3">
        <w:rPr>
          <w:rFonts w:asciiTheme="minorHAnsi" w:hAnsiTheme="minorHAnsi" w:cstheme="minorHAnsi"/>
          <w:i/>
          <w:iCs/>
          <w:color w:val="000000" w:themeColor="text1"/>
        </w:rPr>
        <w:t xml:space="preserve">Coles Store Team Enterprise Agreement 2014 – 2017 </w:t>
      </w:r>
      <w:r w:rsidRPr="00640CE3">
        <w:rPr>
          <w:rFonts w:asciiTheme="minorHAnsi" w:hAnsiTheme="minorHAnsi" w:cstheme="minorHAnsi"/>
          <w:iCs/>
          <w:color w:val="000000" w:themeColor="text1"/>
        </w:rPr>
        <w:t xml:space="preserve">on the grounds that it did not meet the Better Off Overall Test (BOOT). </w:t>
      </w:r>
      <w:r w:rsidRPr="00A463FC">
        <w:rPr>
          <w:rFonts w:asciiTheme="minorHAnsi" w:hAnsiTheme="minorHAnsi" w:cstheme="minorHAnsi"/>
          <w:iCs/>
          <w:color w:val="000000" w:themeColor="text1"/>
        </w:rPr>
        <w:t>Refer to</w:t>
      </w:r>
      <w:r w:rsidR="00A463FC">
        <w:rPr>
          <w:rFonts w:asciiTheme="minorHAnsi" w:hAnsiTheme="minorHAnsi" w:cstheme="minorHAnsi"/>
          <w:iCs/>
          <w:color w:val="000000" w:themeColor="text1"/>
        </w:rPr>
        <w:t xml:space="preserve"> </w:t>
      </w:r>
      <w:r w:rsidR="00A463FC" w:rsidRPr="00A463FC">
        <w:rPr>
          <w:rFonts w:asciiTheme="minorHAnsi" w:hAnsiTheme="minorHAnsi" w:cstheme="minorHAnsi"/>
          <w:i/>
          <w:iCs/>
          <w:color w:val="000000" w:themeColor="text1"/>
        </w:rPr>
        <w:t xml:space="preserve">Hart v Coles Supermarkets Australia Pty Ltd and Bi-Lo Pty Ltd </w:t>
      </w:r>
      <w:r w:rsidR="00A463FC">
        <w:rPr>
          <w:rFonts w:asciiTheme="minorHAnsi" w:hAnsiTheme="minorHAnsi" w:cstheme="minorHAnsi"/>
          <w:iCs/>
          <w:color w:val="000000" w:themeColor="text1"/>
        </w:rPr>
        <w:t xml:space="preserve">[2016] FWCFB 2887 (31 May 2016). </w:t>
      </w:r>
      <w:r w:rsidRPr="00A463FC">
        <w:rPr>
          <w:rFonts w:asciiTheme="minorHAnsi" w:hAnsiTheme="minorHAnsi" w:cstheme="minorHAnsi"/>
          <w:i/>
          <w:iCs/>
          <w:color w:val="000000" w:themeColor="text1"/>
        </w:rPr>
        <w:t xml:space="preserve"> </w:t>
      </w:r>
    </w:p>
  </w:footnote>
  <w:footnote w:id="23">
    <w:p w:rsidR="00ED0408" w:rsidRPr="00640CE3" w:rsidRDefault="00ED0408" w:rsidP="00640CE3">
      <w:pPr>
        <w:pStyle w:val="FootnoteText"/>
        <w:spacing w:before="60"/>
        <w:ind w:left="284" w:hanging="284"/>
        <w:jc w:val="both"/>
        <w:rPr>
          <w:rFonts w:asciiTheme="minorHAnsi" w:hAnsiTheme="minorHAnsi" w:cstheme="minorHAnsi"/>
          <w:color w:val="000000" w:themeColor="text1"/>
        </w:rPr>
      </w:pPr>
      <w:r w:rsidRPr="00640CE3">
        <w:rPr>
          <w:rStyle w:val="FootnoteReference"/>
          <w:rFonts w:asciiTheme="minorHAnsi" w:hAnsiTheme="minorHAnsi" w:cstheme="minorHAnsi"/>
          <w:color w:val="000000" w:themeColor="text1"/>
        </w:rPr>
        <w:footnoteRef/>
      </w:r>
      <w:r w:rsidRPr="00640CE3">
        <w:rPr>
          <w:rFonts w:asciiTheme="minorHAnsi" w:hAnsiTheme="minorHAnsi" w:cstheme="minorHAnsi"/>
          <w:color w:val="000000" w:themeColor="text1"/>
        </w:rPr>
        <w:tab/>
        <w:t xml:space="preserve">The agreement provides for wages increases of 2.4% per annum for 2017, 2018 and 2019 or increases to ensure wage levels are 3.5% higher than the award; whichever is greater. </w:t>
      </w:r>
    </w:p>
  </w:footnote>
  <w:footnote w:id="24">
    <w:p w:rsidR="00ED0408" w:rsidRPr="00640CE3" w:rsidRDefault="00ED0408" w:rsidP="00630E22">
      <w:pPr>
        <w:pStyle w:val="FootnoteText"/>
        <w:ind w:left="284" w:hanging="284"/>
        <w:jc w:val="both"/>
        <w:rPr>
          <w:rFonts w:asciiTheme="minorHAnsi" w:hAnsiTheme="minorHAnsi" w:cstheme="minorHAnsi"/>
          <w:color w:val="000000" w:themeColor="text1"/>
        </w:rPr>
      </w:pPr>
      <w:r w:rsidRPr="00640CE3">
        <w:rPr>
          <w:rStyle w:val="FootnoteReference"/>
          <w:rFonts w:asciiTheme="minorHAnsi" w:hAnsiTheme="minorHAnsi" w:cstheme="minorHAnsi"/>
          <w:color w:val="000000" w:themeColor="text1"/>
        </w:rPr>
        <w:footnoteRef/>
      </w:r>
      <w:r w:rsidRPr="00640CE3">
        <w:rPr>
          <w:rFonts w:asciiTheme="minorHAnsi" w:hAnsiTheme="minorHAnsi" w:cstheme="minorHAnsi"/>
          <w:color w:val="000000" w:themeColor="text1"/>
        </w:rPr>
        <w:t xml:space="preserve"> </w:t>
      </w:r>
      <w:r w:rsidRPr="00640CE3">
        <w:rPr>
          <w:rFonts w:asciiTheme="minorHAnsi" w:hAnsiTheme="minorHAnsi" w:cstheme="minorHAnsi"/>
          <w:color w:val="000000" w:themeColor="text1"/>
        </w:rPr>
        <w:tab/>
      </w:r>
      <w:r w:rsidRPr="00640CE3">
        <w:rPr>
          <w:rFonts w:asciiTheme="minorHAnsi" w:hAnsiTheme="minorHAnsi" w:cstheme="minorHAnsi"/>
          <w:i/>
          <w:color w:val="000000" w:themeColor="text1"/>
        </w:rPr>
        <w:t>Fair Work Act 2009</w:t>
      </w:r>
      <w:r w:rsidRPr="00640CE3">
        <w:rPr>
          <w:rFonts w:asciiTheme="minorHAnsi" w:hAnsiTheme="minorHAnsi" w:cstheme="minorHAnsi"/>
          <w:color w:val="000000" w:themeColor="text1"/>
        </w:rPr>
        <w:t>, s134(1)(b).</w:t>
      </w:r>
    </w:p>
  </w:footnote>
  <w:footnote w:id="25">
    <w:p w:rsidR="00ED0408" w:rsidRPr="00640CE3" w:rsidRDefault="00ED0408" w:rsidP="00630E22">
      <w:pPr>
        <w:pStyle w:val="FootnoteText"/>
        <w:spacing w:before="60"/>
        <w:ind w:left="284" w:hanging="284"/>
        <w:jc w:val="both"/>
        <w:rPr>
          <w:rFonts w:asciiTheme="minorHAnsi" w:hAnsiTheme="minorHAnsi" w:cstheme="minorHAnsi"/>
        </w:rPr>
      </w:pPr>
      <w:r w:rsidRPr="00640CE3">
        <w:rPr>
          <w:rStyle w:val="FootnoteReference"/>
          <w:rFonts w:asciiTheme="minorHAnsi" w:hAnsiTheme="minorHAnsi" w:cstheme="minorHAnsi"/>
        </w:rPr>
        <w:footnoteRef/>
      </w:r>
      <w:r w:rsidRPr="00640CE3">
        <w:rPr>
          <w:rFonts w:asciiTheme="minorHAnsi" w:hAnsiTheme="minorHAnsi" w:cstheme="minorHAnsi"/>
        </w:rPr>
        <w:t xml:space="preserve"> </w:t>
      </w:r>
      <w:r w:rsidRPr="00640CE3">
        <w:rPr>
          <w:rFonts w:asciiTheme="minorHAnsi" w:hAnsiTheme="minorHAnsi" w:cstheme="minorHAnsi"/>
        </w:rPr>
        <w:tab/>
        <w:t xml:space="preserve">Fair Work Commission (2018), </w:t>
      </w:r>
      <w:r w:rsidRPr="00640CE3">
        <w:rPr>
          <w:rFonts w:asciiTheme="minorHAnsi" w:hAnsiTheme="minorHAnsi" w:cstheme="minorHAnsi"/>
          <w:i/>
        </w:rPr>
        <w:t>Annual Wage Review 2017-18</w:t>
      </w:r>
      <w:r w:rsidRPr="00640CE3">
        <w:rPr>
          <w:rFonts w:asciiTheme="minorHAnsi" w:hAnsiTheme="minorHAnsi" w:cstheme="minorHAnsi"/>
        </w:rPr>
        <w:t>, [94]-[96].</w:t>
      </w:r>
    </w:p>
  </w:footnote>
  <w:footnote w:id="26">
    <w:p w:rsidR="00ED0408" w:rsidRPr="00815911" w:rsidRDefault="00ED0408" w:rsidP="00630E22">
      <w:pPr>
        <w:pStyle w:val="FootnoteText"/>
        <w:spacing w:before="60"/>
        <w:ind w:left="284" w:hanging="284"/>
        <w:jc w:val="both"/>
        <w:rPr>
          <w:rFonts w:ascii="Arial" w:hAnsi="Arial" w:cs="Arial"/>
        </w:rPr>
      </w:pPr>
      <w:r w:rsidRPr="00815911">
        <w:rPr>
          <w:rStyle w:val="FootnoteReference"/>
          <w:rFonts w:ascii="Arial" w:hAnsi="Arial" w:cs="Arial"/>
        </w:rPr>
        <w:footnoteRef/>
      </w:r>
      <w:r w:rsidRPr="00815911">
        <w:rPr>
          <w:rFonts w:ascii="Arial" w:hAnsi="Arial" w:cs="Arial"/>
        </w:rPr>
        <w:tab/>
        <w:t xml:space="preserve">Fair Work Commission (2018), </w:t>
      </w:r>
      <w:r w:rsidRPr="00815911">
        <w:rPr>
          <w:rFonts w:ascii="Arial" w:hAnsi="Arial" w:cs="Arial"/>
          <w:i/>
        </w:rPr>
        <w:t>Annual Wage Review 2017-18</w:t>
      </w:r>
      <w:r w:rsidRPr="00815911">
        <w:rPr>
          <w:rFonts w:ascii="Arial" w:hAnsi="Arial" w:cs="Arial"/>
        </w:rPr>
        <w:t>, at [266].</w:t>
      </w:r>
    </w:p>
  </w:footnote>
  <w:footnote w:id="27">
    <w:p w:rsidR="00ED0408" w:rsidRPr="00FA0FF2" w:rsidRDefault="00ED0408" w:rsidP="00630E22">
      <w:pPr>
        <w:pStyle w:val="FootnoteText"/>
        <w:ind w:left="284" w:hanging="284"/>
        <w:jc w:val="both"/>
        <w:rPr>
          <w:rFonts w:ascii="Arial" w:hAnsi="Arial" w:cs="Arial"/>
        </w:rPr>
      </w:pPr>
      <w:r w:rsidRPr="00290A4D">
        <w:rPr>
          <w:rStyle w:val="FootnoteReference"/>
          <w:rFonts w:ascii="Arial" w:hAnsi="Arial" w:cs="Arial"/>
        </w:rPr>
        <w:footnoteRef/>
      </w:r>
      <w:r w:rsidRPr="00290A4D">
        <w:rPr>
          <w:rFonts w:ascii="Arial" w:hAnsi="Arial" w:cs="Arial"/>
        </w:rPr>
        <w:tab/>
        <w:t>ABS (201</w:t>
      </w:r>
      <w:r w:rsidR="00290A4D" w:rsidRPr="00290A4D">
        <w:rPr>
          <w:rFonts w:ascii="Arial" w:hAnsi="Arial" w:cs="Arial"/>
        </w:rPr>
        <w:t>9</w:t>
      </w:r>
      <w:r w:rsidRPr="00290A4D">
        <w:rPr>
          <w:rFonts w:ascii="Arial" w:hAnsi="Arial" w:cs="Arial"/>
        </w:rPr>
        <w:t xml:space="preserve">), </w:t>
      </w:r>
      <w:r w:rsidRPr="00290A4D">
        <w:rPr>
          <w:rFonts w:ascii="Arial" w:hAnsi="Arial" w:cs="Arial"/>
          <w:i/>
        </w:rPr>
        <w:t>Labour Force, Australia, January 201</w:t>
      </w:r>
      <w:r w:rsidR="00290A4D" w:rsidRPr="00290A4D">
        <w:rPr>
          <w:rFonts w:ascii="Arial" w:hAnsi="Arial" w:cs="Arial"/>
          <w:i/>
        </w:rPr>
        <w:t>9</w:t>
      </w:r>
      <w:r w:rsidRPr="00290A4D">
        <w:rPr>
          <w:rFonts w:ascii="Arial" w:hAnsi="Arial" w:cs="Arial"/>
        </w:rPr>
        <w:t>, catalogue 6202.0</w:t>
      </w:r>
      <w:r w:rsidR="00DB7C8D" w:rsidRPr="00290A4D">
        <w:rPr>
          <w:rFonts w:ascii="Arial" w:hAnsi="Arial" w:cs="Arial"/>
        </w:rPr>
        <w:t>, Tables 1 and 8</w:t>
      </w:r>
      <w:r w:rsidRPr="00290A4D">
        <w:rPr>
          <w:rFonts w:ascii="Arial" w:hAnsi="Arial" w:cs="Arial"/>
        </w:rPr>
        <w:t xml:space="preserve"> (seasonally adjusted data).</w:t>
      </w:r>
    </w:p>
  </w:footnote>
  <w:footnote w:id="28">
    <w:p w:rsidR="00ED0408" w:rsidRPr="00B365A7" w:rsidRDefault="00ED0408" w:rsidP="00630E22">
      <w:pPr>
        <w:pStyle w:val="FootnoteText"/>
        <w:spacing w:before="60"/>
        <w:ind w:left="284" w:hanging="284"/>
        <w:jc w:val="both"/>
        <w:rPr>
          <w:rFonts w:ascii="Arial" w:hAnsi="Arial" w:cs="Arial"/>
        </w:rPr>
      </w:pPr>
      <w:r w:rsidRPr="000D0504">
        <w:rPr>
          <w:rStyle w:val="FootnoteReference"/>
          <w:rFonts w:ascii="Arial" w:hAnsi="Arial" w:cs="Arial"/>
        </w:rPr>
        <w:footnoteRef/>
      </w:r>
      <w:r w:rsidRPr="000D0504">
        <w:rPr>
          <w:rFonts w:ascii="Arial" w:hAnsi="Arial" w:cs="Arial"/>
        </w:rPr>
        <w:tab/>
      </w:r>
      <w:r w:rsidRPr="00FA0FF2">
        <w:rPr>
          <w:rFonts w:ascii="Arial" w:hAnsi="Arial" w:cs="Arial"/>
        </w:rPr>
        <w:t>ABS (201</w:t>
      </w:r>
      <w:r>
        <w:rPr>
          <w:rFonts w:ascii="Arial" w:hAnsi="Arial" w:cs="Arial"/>
        </w:rPr>
        <w:t>9</w:t>
      </w:r>
      <w:r w:rsidRPr="00FA0FF2">
        <w:rPr>
          <w:rFonts w:ascii="Arial" w:hAnsi="Arial" w:cs="Arial"/>
        </w:rPr>
        <w:t xml:space="preserve">), </w:t>
      </w:r>
      <w:r w:rsidRPr="00FA0FF2">
        <w:rPr>
          <w:rFonts w:ascii="Arial" w:hAnsi="Arial" w:cs="Arial"/>
          <w:i/>
        </w:rPr>
        <w:t>Labour Force, Australia, January 201</w:t>
      </w:r>
      <w:r w:rsidR="00630E22">
        <w:rPr>
          <w:rFonts w:ascii="Arial" w:hAnsi="Arial" w:cs="Arial"/>
          <w:i/>
        </w:rPr>
        <w:t>9</w:t>
      </w:r>
      <w:r w:rsidRPr="00FA0FF2">
        <w:rPr>
          <w:rFonts w:ascii="Arial" w:hAnsi="Arial" w:cs="Arial"/>
        </w:rPr>
        <w:t xml:space="preserve">, </w:t>
      </w:r>
      <w:r>
        <w:rPr>
          <w:rFonts w:ascii="Arial" w:hAnsi="Arial" w:cs="Arial"/>
        </w:rPr>
        <w:t>c</w:t>
      </w:r>
      <w:r w:rsidRPr="00FA0FF2">
        <w:rPr>
          <w:rFonts w:ascii="Arial" w:hAnsi="Arial" w:cs="Arial"/>
        </w:rPr>
        <w:t>atalogue 6202.0</w:t>
      </w:r>
      <w:r w:rsidR="00DB7C8D">
        <w:rPr>
          <w:rFonts w:ascii="Arial" w:hAnsi="Arial" w:cs="Arial"/>
        </w:rPr>
        <w:t>, Table 1</w:t>
      </w:r>
      <w:r w:rsidRPr="00FA0FF2">
        <w:rPr>
          <w:rFonts w:ascii="Arial" w:hAnsi="Arial" w:cs="Arial"/>
        </w:rPr>
        <w:t xml:space="preserve"> (seasonally adjus</w:t>
      </w:r>
      <w:r>
        <w:rPr>
          <w:rFonts w:ascii="Arial" w:hAnsi="Arial" w:cs="Arial"/>
        </w:rPr>
        <w:t>ted data).</w:t>
      </w:r>
    </w:p>
  </w:footnote>
  <w:footnote w:id="29">
    <w:p w:rsidR="00ED0408" w:rsidRPr="00CA2CFB" w:rsidRDefault="00ED0408" w:rsidP="00630E22">
      <w:pPr>
        <w:pStyle w:val="FootnoteText"/>
        <w:spacing w:before="60"/>
        <w:ind w:left="284" w:hanging="284"/>
        <w:jc w:val="both"/>
        <w:rPr>
          <w:rFonts w:ascii="Arial" w:hAnsi="Arial" w:cs="Arial"/>
        </w:rPr>
      </w:pPr>
      <w:r w:rsidRPr="00CA2CFB">
        <w:rPr>
          <w:rStyle w:val="FootnoteReference"/>
          <w:rFonts w:ascii="Arial" w:hAnsi="Arial" w:cs="Arial"/>
        </w:rPr>
        <w:footnoteRef/>
      </w:r>
      <w:r w:rsidRPr="00CA2CFB">
        <w:rPr>
          <w:rFonts w:ascii="Arial" w:hAnsi="Arial" w:cs="Arial"/>
        </w:rPr>
        <w:t xml:space="preserve">  </w:t>
      </w:r>
      <w:r w:rsidRPr="00CA2CFB">
        <w:rPr>
          <w:rFonts w:ascii="Arial" w:hAnsi="Arial" w:cs="Arial"/>
        </w:rPr>
        <w:tab/>
        <w:t>Fair Work Commission (201</w:t>
      </w:r>
      <w:r>
        <w:rPr>
          <w:rFonts w:ascii="Arial" w:hAnsi="Arial" w:cs="Arial"/>
        </w:rPr>
        <w:t>8</w:t>
      </w:r>
      <w:r w:rsidRPr="00CA2CFB">
        <w:rPr>
          <w:rFonts w:ascii="Arial" w:hAnsi="Arial" w:cs="Arial"/>
        </w:rPr>
        <w:t xml:space="preserve">), </w:t>
      </w:r>
      <w:r w:rsidRPr="00CA2CFB">
        <w:rPr>
          <w:rFonts w:ascii="Arial" w:hAnsi="Arial" w:cs="Arial"/>
          <w:i/>
        </w:rPr>
        <w:t>Annual Wage Review 2017-18</w:t>
      </w:r>
      <w:r w:rsidRPr="00CA2CFB">
        <w:rPr>
          <w:rFonts w:ascii="Arial" w:hAnsi="Arial" w:cs="Arial"/>
        </w:rPr>
        <w:t>, at [418].</w:t>
      </w:r>
    </w:p>
  </w:footnote>
  <w:footnote w:id="30">
    <w:p w:rsidR="00ED0408" w:rsidRPr="00AB502D" w:rsidRDefault="00ED0408" w:rsidP="001F726F">
      <w:pPr>
        <w:pStyle w:val="FootnoteText"/>
        <w:spacing w:before="60"/>
        <w:ind w:left="284" w:hanging="284"/>
        <w:rPr>
          <w:rFonts w:ascii="Arial" w:hAnsi="Arial" w:cs="Arial"/>
        </w:rPr>
      </w:pPr>
      <w:r w:rsidRPr="00CA2CFB">
        <w:rPr>
          <w:rStyle w:val="FootnoteReference"/>
          <w:rFonts w:ascii="Arial" w:hAnsi="Arial" w:cs="Arial"/>
        </w:rPr>
        <w:footnoteRef/>
      </w:r>
      <w:r w:rsidRPr="00CA2CFB">
        <w:rPr>
          <w:rFonts w:ascii="Arial" w:hAnsi="Arial" w:cs="Arial"/>
        </w:rPr>
        <w:t xml:space="preserve"> </w:t>
      </w:r>
      <w:r w:rsidRPr="00CA2CFB">
        <w:rPr>
          <w:rFonts w:ascii="Arial" w:hAnsi="Arial" w:cs="Arial"/>
        </w:rPr>
        <w:tab/>
        <w:t>Ibid.</w:t>
      </w:r>
    </w:p>
  </w:footnote>
  <w:footnote w:id="31">
    <w:p w:rsidR="00ED0408" w:rsidRPr="00601D2E" w:rsidRDefault="00ED0408" w:rsidP="001F726F">
      <w:pPr>
        <w:pStyle w:val="FootnoteText"/>
        <w:spacing w:before="60"/>
        <w:ind w:left="284" w:hanging="284"/>
        <w:jc w:val="both"/>
        <w:rPr>
          <w:rFonts w:ascii="Arial" w:hAnsi="Arial" w:cs="Arial"/>
        </w:rPr>
      </w:pPr>
      <w:r w:rsidRPr="0030307A">
        <w:rPr>
          <w:rStyle w:val="FootnoteReference"/>
          <w:rFonts w:ascii="Arial" w:hAnsi="Arial" w:cs="Arial"/>
        </w:rPr>
        <w:footnoteRef/>
      </w:r>
      <w:r w:rsidRPr="0030307A">
        <w:rPr>
          <w:rFonts w:ascii="Arial" w:hAnsi="Arial" w:cs="Arial"/>
        </w:rPr>
        <w:t xml:space="preserve"> </w:t>
      </w:r>
      <w:r w:rsidRPr="0030307A">
        <w:rPr>
          <w:rFonts w:ascii="Arial" w:hAnsi="Arial" w:cs="Arial"/>
        </w:rPr>
        <w:tab/>
      </w:r>
      <w:r>
        <w:rPr>
          <w:rFonts w:ascii="Arial" w:hAnsi="Arial" w:cs="Arial"/>
        </w:rPr>
        <w:t>A</w:t>
      </w:r>
      <w:r w:rsidRPr="0030307A">
        <w:rPr>
          <w:rFonts w:ascii="Arial" w:hAnsi="Arial" w:cs="Arial"/>
        </w:rPr>
        <w:t>BS (201</w:t>
      </w:r>
      <w:r w:rsidR="00A463FC">
        <w:rPr>
          <w:rFonts w:ascii="Arial" w:hAnsi="Arial" w:cs="Arial"/>
        </w:rPr>
        <w:t>9</w:t>
      </w:r>
      <w:r w:rsidRPr="0030307A">
        <w:rPr>
          <w:rFonts w:ascii="Arial" w:hAnsi="Arial" w:cs="Arial"/>
        </w:rPr>
        <w:t>)</w:t>
      </w:r>
      <w:r>
        <w:rPr>
          <w:rFonts w:ascii="Arial" w:hAnsi="Arial" w:cs="Arial"/>
        </w:rPr>
        <w:t>,</w:t>
      </w:r>
      <w:r w:rsidRPr="0030307A">
        <w:rPr>
          <w:rFonts w:ascii="Arial" w:hAnsi="Arial" w:cs="Arial"/>
        </w:rPr>
        <w:t xml:space="preserve"> </w:t>
      </w:r>
      <w:r w:rsidRPr="0030307A">
        <w:rPr>
          <w:rFonts w:ascii="Arial" w:hAnsi="Arial" w:cs="Arial"/>
          <w:i/>
        </w:rPr>
        <w:t>Average Weekly Earnings, Australia, November 201</w:t>
      </w:r>
      <w:r w:rsidR="00A463FC">
        <w:rPr>
          <w:rFonts w:ascii="Arial" w:hAnsi="Arial" w:cs="Arial"/>
          <w:i/>
        </w:rPr>
        <w:t>8</w:t>
      </w:r>
      <w:r w:rsidRPr="0030307A">
        <w:rPr>
          <w:rFonts w:ascii="Arial" w:hAnsi="Arial" w:cs="Arial"/>
        </w:rPr>
        <w:t xml:space="preserve">, </w:t>
      </w:r>
      <w:r>
        <w:rPr>
          <w:rFonts w:ascii="Arial" w:hAnsi="Arial" w:cs="Arial"/>
        </w:rPr>
        <w:t>catalogue</w:t>
      </w:r>
      <w:r w:rsidRPr="0030307A">
        <w:rPr>
          <w:rFonts w:ascii="Arial" w:hAnsi="Arial" w:cs="Arial"/>
        </w:rPr>
        <w:t xml:space="preserve"> 6302.0, Time Series Spreadsheets </w:t>
      </w:r>
      <w:r w:rsidR="00DB7C8D">
        <w:rPr>
          <w:rFonts w:ascii="Arial" w:hAnsi="Arial" w:cs="Arial"/>
        </w:rPr>
        <w:t>2 and 12E</w:t>
      </w:r>
      <w:r w:rsidRPr="0030307A">
        <w:rPr>
          <w:rFonts w:ascii="Arial" w:hAnsi="Arial" w:cs="Arial"/>
        </w:rPr>
        <w:t>. Data is expressed as full time average weekly ordinary time earnings (seasonally adjusted).</w:t>
      </w:r>
      <w:r w:rsidRPr="00601D2E">
        <w:rPr>
          <w:rFonts w:ascii="Arial" w:hAnsi="Arial" w:cs="Arial"/>
        </w:rPr>
        <w:t xml:space="preserve"> </w:t>
      </w:r>
    </w:p>
  </w:footnote>
  <w:footnote w:id="32">
    <w:p w:rsidR="00ED0408" w:rsidRPr="000D0504" w:rsidRDefault="00ED0408" w:rsidP="00270D2D">
      <w:pPr>
        <w:pStyle w:val="FootnoteText"/>
        <w:spacing w:before="60"/>
        <w:ind w:left="284" w:hanging="284"/>
        <w:jc w:val="both"/>
        <w:rPr>
          <w:rFonts w:ascii="Arial" w:hAnsi="Arial" w:cs="Arial"/>
        </w:rPr>
      </w:pPr>
      <w:r w:rsidRPr="000D0504">
        <w:rPr>
          <w:rStyle w:val="FootnoteReference"/>
          <w:rFonts w:ascii="Arial" w:hAnsi="Arial" w:cs="Arial"/>
        </w:rPr>
        <w:footnoteRef/>
      </w:r>
      <w:r w:rsidRPr="000D0504">
        <w:rPr>
          <w:rFonts w:ascii="Arial" w:hAnsi="Arial" w:cs="Arial"/>
        </w:rPr>
        <w:t xml:space="preserve"> </w:t>
      </w:r>
      <w:r>
        <w:rPr>
          <w:rFonts w:ascii="Arial" w:hAnsi="Arial" w:cs="Arial"/>
        </w:rPr>
        <w:tab/>
        <w:t>A</w:t>
      </w:r>
      <w:r w:rsidRPr="0030307A">
        <w:rPr>
          <w:rFonts w:ascii="Arial" w:hAnsi="Arial" w:cs="Arial"/>
        </w:rPr>
        <w:t>BS (201</w:t>
      </w:r>
      <w:r>
        <w:rPr>
          <w:rFonts w:ascii="Arial" w:hAnsi="Arial" w:cs="Arial"/>
        </w:rPr>
        <w:t>9</w:t>
      </w:r>
      <w:r w:rsidRPr="0030307A">
        <w:rPr>
          <w:rFonts w:ascii="Arial" w:hAnsi="Arial" w:cs="Arial"/>
        </w:rPr>
        <w:t>)</w:t>
      </w:r>
      <w:r>
        <w:rPr>
          <w:rFonts w:ascii="Arial" w:hAnsi="Arial" w:cs="Arial"/>
        </w:rPr>
        <w:t>,</w:t>
      </w:r>
      <w:r w:rsidRPr="0030307A">
        <w:rPr>
          <w:rFonts w:ascii="Arial" w:hAnsi="Arial" w:cs="Arial"/>
        </w:rPr>
        <w:t xml:space="preserve"> </w:t>
      </w:r>
      <w:r w:rsidRPr="0030307A">
        <w:rPr>
          <w:rFonts w:ascii="Arial" w:hAnsi="Arial" w:cs="Arial"/>
          <w:i/>
        </w:rPr>
        <w:t>Average Weekly Earnings, Australia, November 201</w:t>
      </w:r>
      <w:r>
        <w:rPr>
          <w:rFonts w:ascii="Arial" w:hAnsi="Arial" w:cs="Arial"/>
          <w:i/>
        </w:rPr>
        <w:t>8</w:t>
      </w:r>
      <w:r w:rsidRPr="0030307A">
        <w:rPr>
          <w:rFonts w:ascii="Arial" w:hAnsi="Arial" w:cs="Arial"/>
        </w:rPr>
        <w:t xml:space="preserve">, </w:t>
      </w:r>
      <w:r>
        <w:rPr>
          <w:rFonts w:ascii="Arial" w:hAnsi="Arial" w:cs="Arial"/>
        </w:rPr>
        <w:t>catalogue</w:t>
      </w:r>
      <w:r w:rsidRPr="0030307A">
        <w:rPr>
          <w:rFonts w:ascii="Arial" w:hAnsi="Arial" w:cs="Arial"/>
        </w:rPr>
        <w:t xml:space="preserve"> 6302.0, Time Series Spreadsheets </w:t>
      </w:r>
      <w:r>
        <w:rPr>
          <w:rFonts w:ascii="Arial" w:hAnsi="Arial" w:cs="Arial"/>
        </w:rPr>
        <w:t xml:space="preserve">2 and </w:t>
      </w:r>
      <w:r w:rsidRPr="0030307A">
        <w:rPr>
          <w:rFonts w:ascii="Arial" w:hAnsi="Arial" w:cs="Arial"/>
        </w:rPr>
        <w:t>12A – 12H. Data is expressed as full time average weekly ordinary time earnings (seasonally adjusted).</w:t>
      </w:r>
      <w:r w:rsidRPr="00601D2E">
        <w:rPr>
          <w:rFonts w:ascii="Arial" w:hAnsi="Arial" w:cs="Arial"/>
        </w:rPr>
        <w:t xml:space="preserve"> </w:t>
      </w:r>
    </w:p>
  </w:footnote>
  <w:footnote w:id="33">
    <w:p w:rsidR="00ED0408" w:rsidRPr="008A2F41" w:rsidRDefault="00ED0408" w:rsidP="006D40D7">
      <w:pPr>
        <w:pStyle w:val="FootnoteText"/>
        <w:spacing w:before="60"/>
        <w:ind w:left="284" w:hanging="284"/>
        <w:jc w:val="both"/>
        <w:rPr>
          <w:rFonts w:ascii="Arial" w:hAnsi="Arial" w:cs="Arial"/>
        </w:rPr>
      </w:pPr>
      <w:r w:rsidRPr="00601D2E">
        <w:rPr>
          <w:rStyle w:val="FootnoteReference"/>
          <w:rFonts w:ascii="Arial" w:hAnsi="Arial" w:cs="Arial"/>
        </w:rPr>
        <w:footnoteRef/>
      </w:r>
      <w:r w:rsidRPr="00601D2E">
        <w:rPr>
          <w:rFonts w:ascii="Arial" w:hAnsi="Arial" w:cs="Arial"/>
        </w:rPr>
        <w:t xml:space="preserve"> </w:t>
      </w:r>
      <w:r w:rsidRPr="00601D2E">
        <w:rPr>
          <w:rFonts w:ascii="Arial" w:hAnsi="Arial" w:cs="Arial"/>
        </w:rPr>
        <w:tab/>
        <w:t>ABS (201</w:t>
      </w:r>
      <w:r>
        <w:rPr>
          <w:rFonts w:ascii="Arial" w:hAnsi="Arial" w:cs="Arial"/>
        </w:rPr>
        <w:t>9</w:t>
      </w:r>
      <w:r w:rsidRPr="00601D2E">
        <w:rPr>
          <w:rFonts w:ascii="Arial" w:hAnsi="Arial" w:cs="Arial"/>
        </w:rPr>
        <w:t xml:space="preserve">), </w:t>
      </w:r>
      <w:r w:rsidRPr="00601D2E">
        <w:rPr>
          <w:rFonts w:ascii="Arial" w:hAnsi="Arial" w:cs="Arial"/>
          <w:i/>
        </w:rPr>
        <w:t>Employee Earnings and Hours, Australia, May 201</w:t>
      </w:r>
      <w:r>
        <w:rPr>
          <w:rFonts w:ascii="Arial" w:hAnsi="Arial" w:cs="Arial"/>
          <w:i/>
        </w:rPr>
        <w:t>8</w:t>
      </w:r>
      <w:r w:rsidRPr="00601D2E">
        <w:rPr>
          <w:rFonts w:ascii="Arial" w:hAnsi="Arial" w:cs="Arial"/>
        </w:rPr>
        <w:t xml:space="preserve">, </w:t>
      </w:r>
      <w:r>
        <w:rPr>
          <w:rFonts w:ascii="Arial" w:hAnsi="Arial" w:cs="Arial"/>
        </w:rPr>
        <w:t xml:space="preserve">catalogue </w:t>
      </w:r>
      <w:r w:rsidRPr="00601D2E">
        <w:rPr>
          <w:rFonts w:ascii="Arial" w:hAnsi="Arial" w:cs="Arial"/>
        </w:rPr>
        <w:t>6306.0, Datacube 5</w:t>
      </w:r>
      <w:r w:rsidR="00DB7C8D">
        <w:rPr>
          <w:rFonts w:ascii="Arial" w:hAnsi="Arial" w:cs="Arial"/>
        </w:rPr>
        <w:t>, Table</w:t>
      </w:r>
      <w:r w:rsidR="00BA3FDA">
        <w:rPr>
          <w:rFonts w:ascii="Arial" w:hAnsi="Arial" w:cs="Arial"/>
        </w:rPr>
        <w:t> </w:t>
      </w:r>
      <w:r w:rsidR="00DB7C8D">
        <w:rPr>
          <w:rFonts w:ascii="Arial" w:hAnsi="Arial" w:cs="Arial"/>
        </w:rPr>
        <w:t>1</w:t>
      </w:r>
      <w:r w:rsidRPr="00601D2E">
        <w:rPr>
          <w:rFonts w:ascii="Arial" w:hAnsi="Arial" w:cs="Arial"/>
        </w:rPr>
        <w:t>.</w:t>
      </w:r>
    </w:p>
  </w:footnote>
  <w:footnote w:id="34">
    <w:p w:rsidR="007371AD" w:rsidRDefault="007371AD" w:rsidP="007371AD">
      <w:pPr>
        <w:pStyle w:val="FootnoteText"/>
        <w:ind w:left="284" w:hanging="284"/>
        <w:jc w:val="both"/>
        <w:rPr>
          <w:rFonts w:ascii="Arial" w:hAnsi="Arial" w:cs="Arial"/>
        </w:rPr>
      </w:pPr>
      <w:r>
        <w:rPr>
          <w:rStyle w:val="FootnoteReference"/>
          <w:rFonts w:ascii="Arial" w:hAnsi="Arial" w:cs="Arial"/>
        </w:rPr>
        <w:footnoteRef/>
      </w:r>
      <w:r>
        <w:rPr>
          <w:rFonts w:ascii="Arial" w:hAnsi="Arial" w:cs="Arial"/>
        </w:rPr>
        <w:tab/>
        <w:t xml:space="preserve">The frequency of the AWE series changed from quarterly to biannual in 2012, with the November 2012 issue the first produced on a biannual basis.  AWE data will now be produced twice a year relating to the May and November reference periods. </w:t>
      </w:r>
    </w:p>
  </w:footnote>
  <w:footnote w:id="35">
    <w:p w:rsidR="007371AD" w:rsidRDefault="007371AD" w:rsidP="007371AD">
      <w:pPr>
        <w:pStyle w:val="FootnoteText"/>
        <w:ind w:left="284" w:hanging="284"/>
        <w:jc w:val="both"/>
      </w:pPr>
      <w:r>
        <w:rPr>
          <w:rStyle w:val="FootnoteReference"/>
          <w:rFonts w:ascii="Arial" w:hAnsi="Arial" w:cs="Arial"/>
        </w:rPr>
        <w:footnoteRef/>
      </w:r>
      <w:r>
        <w:rPr>
          <w:rFonts w:ascii="Arial" w:hAnsi="Arial" w:cs="Arial"/>
        </w:rPr>
        <w:tab/>
        <w:t>For example, the mining industry has a large impact on the State’s earnings measures (as earnings tend to be high in this sector).  One reason that earnings for the mining industry are higher than the average for all industries is that workers in the mining industry tend to work longer hours and receive allowances for shift work and for often working in isolated locations.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08" w:rsidRDefault="00ED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08" w:rsidRDefault="00ED0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08" w:rsidRDefault="00ED0408">
    <w:pPr>
      <w:pStyle w:val="Header"/>
      <w:jc w:val="right"/>
    </w:pPr>
  </w:p>
  <w:p w:rsidR="00ED0408" w:rsidRDefault="00ED0408" w:rsidP="003E2EB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31" w:rsidRDefault="00AE08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31" w:rsidRDefault="00AE08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31" w:rsidRDefault="00AE0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201"/>
    <w:multiLevelType w:val="hybridMultilevel"/>
    <w:tmpl w:val="D5E0A5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2" w15:restartNumberingAfterBreak="0">
    <w:nsid w:val="19E47981"/>
    <w:multiLevelType w:val="multilevel"/>
    <w:tmpl w:val="0AA25E70"/>
    <w:numStyleLink w:val="AgencyBullets"/>
  </w:abstractNum>
  <w:abstractNum w:abstractNumId="3"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270344FD"/>
    <w:multiLevelType w:val="hybridMultilevel"/>
    <w:tmpl w:val="35C41684"/>
    <w:lvl w:ilvl="0" w:tplc="A72E21C0">
      <w:start w:val="23"/>
      <w:numFmt w:val="decimal"/>
      <w:lvlText w:val="%1."/>
      <w:lvlJc w:val="left"/>
      <w:pPr>
        <w:ind w:left="720" w:hanging="360"/>
      </w:pPr>
      <w:rPr>
        <w:rFonts w:ascii="Arial" w:hAnsi="Arial" w:cs="Arial" w:hint="default"/>
        <w:b w:val="0"/>
        <w:color w:val="000000" w:themeColor="text1"/>
        <w:sz w:val="24"/>
        <w:szCs w:val="24"/>
      </w:rPr>
    </w:lvl>
    <w:lvl w:ilvl="1" w:tplc="22F68EEA">
      <w:start w:val="1"/>
      <w:numFmt w:val="lowerLetter"/>
      <w:lvlText w:val="(%2)"/>
      <w:lvlJc w:val="left"/>
      <w:pPr>
        <w:ind w:left="1440" w:hanging="360"/>
      </w:pPr>
      <w:rPr>
        <w:rFonts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6" w15:restartNumberingAfterBreak="0">
    <w:nsid w:val="391066D5"/>
    <w:multiLevelType w:val="hybridMultilevel"/>
    <w:tmpl w:val="937ED61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40EF60A1"/>
    <w:multiLevelType w:val="multilevel"/>
    <w:tmpl w:val="77DEEFC4"/>
    <w:numStyleLink w:val="AgencyNumbers"/>
  </w:abstractNum>
  <w:abstractNum w:abstractNumId="8" w15:restartNumberingAfterBreak="0">
    <w:nsid w:val="41B20D18"/>
    <w:multiLevelType w:val="multilevel"/>
    <w:tmpl w:val="C4023126"/>
    <w:numStyleLink w:val="AgencyTableBullets"/>
  </w:abstractNum>
  <w:abstractNum w:abstractNumId="9" w15:restartNumberingAfterBreak="0">
    <w:nsid w:val="4474526F"/>
    <w:multiLevelType w:val="multilevel"/>
    <w:tmpl w:val="D5A4B100"/>
    <w:numStyleLink w:val="AgencyTableNumbers"/>
  </w:abstractNum>
  <w:abstractNum w:abstractNumId="10"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1" w15:restartNumberingAfterBreak="0">
    <w:nsid w:val="51305A66"/>
    <w:multiLevelType w:val="hybridMultilevel"/>
    <w:tmpl w:val="898C693C"/>
    <w:lvl w:ilvl="0" w:tplc="22F68EEA">
      <w:start w:val="1"/>
      <w:numFmt w:val="lowerLetter"/>
      <w:lvlText w:val="(%1)"/>
      <w:lvlJc w:val="left"/>
      <w:pPr>
        <w:ind w:left="108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1920A4B"/>
    <w:multiLevelType w:val="hybridMultilevel"/>
    <w:tmpl w:val="2180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047C6F"/>
    <w:multiLevelType w:val="hybridMultilevel"/>
    <w:tmpl w:val="23921B9C"/>
    <w:lvl w:ilvl="0" w:tplc="22F68EEA">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CCE2C1B"/>
    <w:multiLevelType w:val="hybridMultilevel"/>
    <w:tmpl w:val="B55C0A96"/>
    <w:lvl w:ilvl="0" w:tplc="50EE1BD6">
      <w:start w:val="1"/>
      <w:numFmt w:val="decimal"/>
      <w:lvlText w:val="%1."/>
      <w:lvlJc w:val="left"/>
      <w:pPr>
        <w:ind w:left="720" w:hanging="360"/>
      </w:pPr>
      <w:rPr>
        <w:rFonts w:ascii="Arial" w:hAnsi="Arial" w:cs="Arial" w:hint="default"/>
        <w:b w:val="0"/>
        <w:color w:val="000000" w:themeColor="text1"/>
        <w:sz w:val="24"/>
        <w:szCs w:val="24"/>
      </w:rPr>
    </w:lvl>
    <w:lvl w:ilvl="1" w:tplc="659A2E58">
      <w:start w:val="1"/>
      <w:numFmt w:val="lowerLetter"/>
      <w:lvlText w:val="(%2)"/>
      <w:lvlJc w:val="left"/>
      <w:pPr>
        <w:ind w:left="1800" w:hanging="720"/>
      </w:pPr>
      <w:rPr>
        <w:rFonts w:hint="default"/>
      </w:rPr>
    </w:lvl>
    <w:lvl w:ilvl="2" w:tplc="2348095A">
      <w:start w:val="24"/>
      <w:numFmt w:val="bullet"/>
      <w:lvlText w:val=""/>
      <w:lvlJc w:val="left"/>
      <w:pPr>
        <w:ind w:left="2340" w:hanging="360"/>
      </w:pPr>
      <w:rPr>
        <w:rFonts w:ascii="Wingdings 2" w:eastAsia="Times New Roman" w:hAnsi="Wingdings 2" w:cs="Arial" w:hint="default"/>
      </w:rPr>
    </w:lvl>
    <w:lvl w:ilvl="3" w:tplc="1F845AF8">
      <w:start w:val="24"/>
      <w:numFmt w:val="bullet"/>
      <w:lvlText w:val=""/>
      <w:lvlJc w:val="left"/>
      <w:pPr>
        <w:ind w:left="2880" w:hanging="360"/>
      </w:pPr>
      <w:rPr>
        <w:rFonts w:ascii="Symbol" w:eastAsia="Times New Roman" w:hAnsi="Symbo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3"/>
  </w:num>
  <w:num w:numId="5">
    <w:abstractNumId w:val="7"/>
  </w:num>
  <w:num w:numId="6">
    <w:abstractNumId w:val="8"/>
  </w:num>
  <w:num w:numId="7">
    <w:abstractNumId w:val="9"/>
  </w:num>
  <w:num w:numId="8">
    <w:abstractNumId w:val="2"/>
  </w:num>
  <w:num w:numId="9">
    <w:abstractNumId w:val="2"/>
  </w:num>
  <w:num w:numId="10">
    <w:abstractNumId w:val="7"/>
  </w:num>
  <w:num w:numId="11">
    <w:abstractNumId w:val="2"/>
  </w:num>
  <w:num w:numId="12">
    <w:abstractNumId w:val="2"/>
  </w:num>
  <w:num w:numId="13">
    <w:abstractNumId w:val="2"/>
  </w:num>
  <w:num w:numId="14">
    <w:abstractNumId w:val="2"/>
  </w:num>
  <w:num w:numId="15">
    <w:abstractNumId w:val="7"/>
  </w:num>
  <w:num w:numId="16">
    <w:abstractNumId w:val="7"/>
  </w:num>
  <w:num w:numId="17">
    <w:abstractNumId w:val="7"/>
  </w:num>
  <w:num w:numId="18">
    <w:abstractNumId w:val="7"/>
  </w:num>
  <w:num w:numId="19">
    <w:abstractNumId w:val="5"/>
  </w:num>
  <w:num w:numId="20">
    <w:abstractNumId w:val="10"/>
  </w:num>
  <w:num w:numId="21">
    <w:abstractNumId w:val="1"/>
  </w:num>
  <w:num w:numId="22">
    <w:abstractNumId w:val="3"/>
  </w:num>
  <w:num w:numId="23">
    <w:abstractNumId w:val="8"/>
  </w:num>
  <w:num w:numId="24">
    <w:abstractNumId w:val="9"/>
  </w:num>
  <w:num w:numId="25">
    <w:abstractNumId w:val="14"/>
  </w:num>
  <w:num w:numId="26">
    <w:abstractNumId w:val="13"/>
  </w:num>
  <w:num w:numId="27">
    <w:abstractNumId w:val="4"/>
  </w:num>
  <w:num w:numId="28">
    <w:abstractNumId w:val="11"/>
  </w:num>
  <w:num w:numId="29">
    <w:abstractNumId w:val="6"/>
  </w:num>
  <w:num w:numId="30">
    <w:abstractNumId w:val="0"/>
  </w:num>
  <w:num w:numId="31">
    <w:abstractNumId w:val="0"/>
  </w:num>
  <w:num w:numId="3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567"/>
  <w:drawingGridHorizontalSpacing w:val="110"/>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6F"/>
    <w:rsid w:val="00005285"/>
    <w:rsid w:val="00027DBE"/>
    <w:rsid w:val="00030161"/>
    <w:rsid w:val="000440D0"/>
    <w:rsid w:val="000564E4"/>
    <w:rsid w:val="000628DD"/>
    <w:rsid w:val="00070650"/>
    <w:rsid w:val="00081F4F"/>
    <w:rsid w:val="000822CA"/>
    <w:rsid w:val="00087E7C"/>
    <w:rsid w:val="000A023B"/>
    <w:rsid w:val="000D0504"/>
    <w:rsid w:val="000D6278"/>
    <w:rsid w:val="000F1E93"/>
    <w:rsid w:val="000F4B54"/>
    <w:rsid w:val="0010123A"/>
    <w:rsid w:val="00101A4E"/>
    <w:rsid w:val="00117846"/>
    <w:rsid w:val="00120F91"/>
    <w:rsid w:val="00127A81"/>
    <w:rsid w:val="00150D6F"/>
    <w:rsid w:val="0015286C"/>
    <w:rsid w:val="00156097"/>
    <w:rsid w:val="00161BAC"/>
    <w:rsid w:val="00166F4F"/>
    <w:rsid w:val="00167BA7"/>
    <w:rsid w:val="00171920"/>
    <w:rsid w:val="001723E2"/>
    <w:rsid w:val="00175A79"/>
    <w:rsid w:val="00175B21"/>
    <w:rsid w:val="001773C1"/>
    <w:rsid w:val="00181222"/>
    <w:rsid w:val="00182318"/>
    <w:rsid w:val="001853E7"/>
    <w:rsid w:val="001879E1"/>
    <w:rsid w:val="001C2AB9"/>
    <w:rsid w:val="001C316F"/>
    <w:rsid w:val="001D2EB0"/>
    <w:rsid w:val="001E38AF"/>
    <w:rsid w:val="001E3D27"/>
    <w:rsid w:val="001F1168"/>
    <w:rsid w:val="001F5F62"/>
    <w:rsid w:val="001F726F"/>
    <w:rsid w:val="00202A9F"/>
    <w:rsid w:val="0021319C"/>
    <w:rsid w:val="00214A7A"/>
    <w:rsid w:val="00217BF0"/>
    <w:rsid w:val="00222688"/>
    <w:rsid w:val="00243F51"/>
    <w:rsid w:val="00264129"/>
    <w:rsid w:val="0026641B"/>
    <w:rsid w:val="00270D2D"/>
    <w:rsid w:val="002724CC"/>
    <w:rsid w:val="002760CB"/>
    <w:rsid w:val="00283197"/>
    <w:rsid w:val="00290A4D"/>
    <w:rsid w:val="002D23C5"/>
    <w:rsid w:val="002D4783"/>
    <w:rsid w:val="002E1472"/>
    <w:rsid w:val="002E7DD3"/>
    <w:rsid w:val="002E7F7B"/>
    <w:rsid w:val="002F6576"/>
    <w:rsid w:val="00306FAF"/>
    <w:rsid w:val="00307B64"/>
    <w:rsid w:val="0031397D"/>
    <w:rsid w:val="00316310"/>
    <w:rsid w:val="00321C39"/>
    <w:rsid w:val="00322746"/>
    <w:rsid w:val="00327D01"/>
    <w:rsid w:val="0033401D"/>
    <w:rsid w:val="00334E55"/>
    <w:rsid w:val="003439CA"/>
    <w:rsid w:val="00351DB2"/>
    <w:rsid w:val="00371130"/>
    <w:rsid w:val="00371FB3"/>
    <w:rsid w:val="00375984"/>
    <w:rsid w:val="0038356A"/>
    <w:rsid w:val="00386737"/>
    <w:rsid w:val="003B0293"/>
    <w:rsid w:val="003B68D0"/>
    <w:rsid w:val="003C4CE5"/>
    <w:rsid w:val="003E2EB4"/>
    <w:rsid w:val="003E78C6"/>
    <w:rsid w:val="003F4681"/>
    <w:rsid w:val="003F68F5"/>
    <w:rsid w:val="003F7D47"/>
    <w:rsid w:val="00405103"/>
    <w:rsid w:val="004108AE"/>
    <w:rsid w:val="004136AD"/>
    <w:rsid w:val="00415643"/>
    <w:rsid w:val="00423A76"/>
    <w:rsid w:val="004328EC"/>
    <w:rsid w:val="00456CFF"/>
    <w:rsid w:val="0046579E"/>
    <w:rsid w:val="00471D68"/>
    <w:rsid w:val="00475A74"/>
    <w:rsid w:val="00476C25"/>
    <w:rsid w:val="00484EEA"/>
    <w:rsid w:val="00490548"/>
    <w:rsid w:val="004A0A92"/>
    <w:rsid w:val="004A2E29"/>
    <w:rsid w:val="004C12D6"/>
    <w:rsid w:val="004C2A74"/>
    <w:rsid w:val="004C3B9E"/>
    <w:rsid w:val="004F6AB4"/>
    <w:rsid w:val="00502FFE"/>
    <w:rsid w:val="0051332F"/>
    <w:rsid w:val="005159A1"/>
    <w:rsid w:val="00517B50"/>
    <w:rsid w:val="00521B09"/>
    <w:rsid w:val="00526334"/>
    <w:rsid w:val="005277B6"/>
    <w:rsid w:val="00556CD6"/>
    <w:rsid w:val="005818BF"/>
    <w:rsid w:val="005A6C89"/>
    <w:rsid w:val="005C7F45"/>
    <w:rsid w:val="00601318"/>
    <w:rsid w:val="00604C6D"/>
    <w:rsid w:val="00622355"/>
    <w:rsid w:val="00630E22"/>
    <w:rsid w:val="00632600"/>
    <w:rsid w:val="0063437A"/>
    <w:rsid w:val="0063713B"/>
    <w:rsid w:val="00640CE3"/>
    <w:rsid w:val="00644966"/>
    <w:rsid w:val="00650EDB"/>
    <w:rsid w:val="0065335B"/>
    <w:rsid w:val="00664B55"/>
    <w:rsid w:val="00666C6B"/>
    <w:rsid w:val="006832C4"/>
    <w:rsid w:val="0069124D"/>
    <w:rsid w:val="006A48A5"/>
    <w:rsid w:val="006B372C"/>
    <w:rsid w:val="006D40D7"/>
    <w:rsid w:val="006F6212"/>
    <w:rsid w:val="00717E58"/>
    <w:rsid w:val="00720DDF"/>
    <w:rsid w:val="007218E4"/>
    <w:rsid w:val="0072247E"/>
    <w:rsid w:val="00725843"/>
    <w:rsid w:val="00732F40"/>
    <w:rsid w:val="00736097"/>
    <w:rsid w:val="00736B45"/>
    <w:rsid w:val="007371AD"/>
    <w:rsid w:val="00744972"/>
    <w:rsid w:val="0075253D"/>
    <w:rsid w:val="007528AA"/>
    <w:rsid w:val="00756CED"/>
    <w:rsid w:val="00757A2A"/>
    <w:rsid w:val="00762BFC"/>
    <w:rsid w:val="00762EFD"/>
    <w:rsid w:val="00765079"/>
    <w:rsid w:val="00765AED"/>
    <w:rsid w:val="0077099F"/>
    <w:rsid w:val="007769E4"/>
    <w:rsid w:val="00785D15"/>
    <w:rsid w:val="007A31D6"/>
    <w:rsid w:val="007A54B1"/>
    <w:rsid w:val="007B00F1"/>
    <w:rsid w:val="007B7733"/>
    <w:rsid w:val="007C6134"/>
    <w:rsid w:val="007C7BF7"/>
    <w:rsid w:val="00811021"/>
    <w:rsid w:val="00815911"/>
    <w:rsid w:val="00817A98"/>
    <w:rsid w:val="00824C3D"/>
    <w:rsid w:val="0084055C"/>
    <w:rsid w:val="008565C8"/>
    <w:rsid w:val="00860F4E"/>
    <w:rsid w:val="008625AE"/>
    <w:rsid w:val="008652F9"/>
    <w:rsid w:val="00873DFA"/>
    <w:rsid w:val="008754BA"/>
    <w:rsid w:val="00875FE3"/>
    <w:rsid w:val="00884360"/>
    <w:rsid w:val="00884F47"/>
    <w:rsid w:val="0089012F"/>
    <w:rsid w:val="00893A59"/>
    <w:rsid w:val="008A0283"/>
    <w:rsid w:val="008A72AE"/>
    <w:rsid w:val="008C1826"/>
    <w:rsid w:val="008D10CE"/>
    <w:rsid w:val="008D2657"/>
    <w:rsid w:val="008E0D74"/>
    <w:rsid w:val="008E41EC"/>
    <w:rsid w:val="008E742A"/>
    <w:rsid w:val="008F3238"/>
    <w:rsid w:val="008F7C2D"/>
    <w:rsid w:val="00917A2A"/>
    <w:rsid w:val="00930BCD"/>
    <w:rsid w:val="00930F27"/>
    <w:rsid w:val="00933661"/>
    <w:rsid w:val="00935B0B"/>
    <w:rsid w:val="0094285C"/>
    <w:rsid w:val="00943CC7"/>
    <w:rsid w:val="00944D7D"/>
    <w:rsid w:val="00953276"/>
    <w:rsid w:val="009532BA"/>
    <w:rsid w:val="00970830"/>
    <w:rsid w:val="00995AC7"/>
    <w:rsid w:val="009B0BD9"/>
    <w:rsid w:val="009B1A62"/>
    <w:rsid w:val="009C7932"/>
    <w:rsid w:val="009D644E"/>
    <w:rsid w:val="009E60E9"/>
    <w:rsid w:val="009F6AA3"/>
    <w:rsid w:val="00A209A5"/>
    <w:rsid w:val="00A27D8E"/>
    <w:rsid w:val="00A4382C"/>
    <w:rsid w:val="00A463FC"/>
    <w:rsid w:val="00A663DD"/>
    <w:rsid w:val="00A73213"/>
    <w:rsid w:val="00A74A22"/>
    <w:rsid w:val="00A768BE"/>
    <w:rsid w:val="00A804F9"/>
    <w:rsid w:val="00A826CA"/>
    <w:rsid w:val="00A84E85"/>
    <w:rsid w:val="00A865D9"/>
    <w:rsid w:val="00A877CB"/>
    <w:rsid w:val="00AD0559"/>
    <w:rsid w:val="00AE0857"/>
    <w:rsid w:val="00AE6CF0"/>
    <w:rsid w:val="00AF2D97"/>
    <w:rsid w:val="00AF5DB2"/>
    <w:rsid w:val="00B06462"/>
    <w:rsid w:val="00B139B9"/>
    <w:rsid w:val="00B20121"/>
    <w:rsid w:val="00B210D3"/>
    <w:rsid w:val="00B23B23"/>
    <w:rsid w:val="00B254F3"/>
    <w:rsid w:val="00B365A7"/>
    <w:rsid w:val="00B41DD7"/>
    <w:rsid w:val="00B41EB2"/>
    <w:rsid w:val="00B4205B"/>
    <w:rsid w:val="00B45BCE"/>
    <w:rsid w:val="00B75822"/>
    <w:rsid w:val="00B96B1B"/>
    <w:rsid w:val="00B97289"/>
    <w:rsid w:val="00BA3FDA"/>
    <w:rsid w:val="00BA5B5A"/>
    <w:rsid w:val="00BB241A"/>
    <w:rsid w:val="00BC5B97"/>
    <w:rsid w:val="00BC790D"/>
    <w:rsid w:val="00BD1195"/>
    <w:rsid w:val="00BD452D"/>
    <w:rsid w:val="00BD7FE2"/>
    <w:rsid w:val="00BE3859"/>
    <w:rsid w:val="00C02132"/>
    <w:rsid w:val="00C169C6"/>
    <w:rsid w:val="00C17C2B"/>
    <w:rsid w:val="00C30865"/>
    <w:rsid w:val="00C34642"/>
    <w:rsid w:val="00C524D8"/>
    <w:rsid w:val="00C61599"/>
    <w:rsid w:val="00C646D7"/>
    <w:rsid w:val="00C74436"/>
    <w:rsid w:val="00C770A6"/>
    <w:rsid w:val="00C851DC"/>
    <w:rsid w:val="00C95C39"/>
    <w:rsid w:val="00C97A98"/>
    <w:rsid w:val="00CA2CFB"/>
    <w:rsid w:val="00CB079B"/>
    <w:rsid w:val="00CB1BC0"/>
    <w:rsid w:val="00CC4376"/>
    <w:rsid w:val="00CC43BA"/>
    <w:rsid w:val="00CC5FB3"/>
    <w:rsid w:val="00CD2D16"/>
    <w:rsid w:val="00CE59CD"/>
    <w:rsid w:val="00CE7338"/>
    <w:rsid w:val="00CF2254"/>
    <w:rsid w:val="00D016D8"/>
    <w:rsid w:val="00D06B52"/>
    <w:rsid w:val="00D121E5"/>
    <w:rsid w:val="00D14F87"/>
    <w:rsid w:val="00D24096"/>
    <w:rsid w:val="00D27E58"/>
    <w:rsid w:val="00D43849"/>
    <w:rsid w:val="00D5302E"/>
    <w:rsid w:val="00D6395F"/>
    <w:rsid w:val="00D71CF0"/>
    <w:rsid w:val="00D9127D"/>
    <w:rsid w:val="00D93E46"/>
    <w:rsid w:val="00DB033C"/>
    <w:rsid w:val="00DB3B0A"/>
    <w:rsid w:val="00DB7C8D"/>
    <w:rsid w:val="00DC07FF"/>
    <w:rsid w:val="00DC263C"/>
    <w:rsid w:val="00DE0A4C"/>
    <w:rsid w:val="00DE3E74"/>
    <w:rsid w:val="00DE5B3B"/>
    <w:rsid w:val="00DF6FC2"/>
    <w:rsid w:val="00DF7BE7"/>
    <w:rsid w:val="00E03720"/>
    <w:rsid w:val="00E262D6"/>
    <w:rsid w:val="00E26EED"/>
    <w:rsid w:val="00E30ABB"/>
    <w:rsid w:val="00E328AB"/>
    <w:rsid w:val="00E335C1"/>
    <w:rsid w:val="00E369CB"/>
    <w:rsid w:val="00E4041E"/>
    <w:rsid w:val="00E57F78"/>
    <w:rsid w:val="00E61D50"/>
    <w:rsid w:val="00E800BA"/>
    <w:rsid w:val="00E8500E"/>
    <w:rsid w:val="00E87942"/>
    <w:rsid w:val="00E97353"/>
    <w:rsid w:val="00EB048B"/>
    <w:rsid w:val="00EC09CC"/>
    <w:rsid w:val="00EC15C1"/>
    <w:rsid w:val="00EC6AB6"/>
    <w:rsid w:val="00ED0408"/>
    <w:rsid w:val="00ED0DB6"/>
    <w:rsid w:val="00ED1F45"/>
    <w:rsid w:val="00EF7603"/>
    <w:rsid w:val="00F0490B"/>
    <w:rsid w:val="00F05C73"/>
    <w:rsid w:val="00F065E1"/>
    <w:rsid w:val="00F06689"/>
    <w:rsid w:val="00F07494"/>
    <w:rsid w:val="00F16EEC"/>
    <w:rsid w:val="00F17A22"/>
    <w:rsid w:val="00F234F8"/>
    <w:rsid w:val="00F30BCA"/>
    <w:rsid w:val="00F324BA"/>
    <w:rsid w:val="00F42B9C"/>
    <w:rsid w:val="00F45B74"/>
    <w:rsid w:val="00F47CE2"/>
    <w:rsid w:val="00F53BB2"/>
    <w:rsid w:val="00F610BE"/>
    <w:rsid w:val="00F63B93"/>
    <w:rsid w:val="00FA164E"/>
    <w:rsid w:val="00FA3B9E"/>
    <w:rsid w:val="00FB1CCB"/>
    <w:rsid w:val="00FB2139"/>
    <w:rsid w:val="00FD5004"/>
    <w:rsid w:val="00FE6C25"/>
    <w:rsid w:val="00FF0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BACB7"/>
  <w15:chartTrackingRefBased/>
  <w15:docId w15:val="{C8E477BF-4F50-4677-B943-3B920DDA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26F"/>
    <w:rPr>
      <w:rFonts w:eastAsiaTheme="minorHAnsi"/>
      <w:sz w:val="22"/>
      <w:szCs w:val="22"/>
    </w:rPr>
  </w:style>
  <w:style w:type="paragraph" w:styleId="Heading1">
    <w:name w:val="heading 1"/>
    <w:basedOn w:val="Normal"/>
    <w:next w:val="BodyText"/>
    <w:link w:val="Heading1Char"/>
    <w:uiPriority w:val="9"/>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iPriority w:val="99"/>
    <w:unhideWhenUsed/>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19"/>
      </w:numPr>
      <w:spacing w:after="60"/>
    </w:pPr>
  </w:style>
  <w:style w:type="paragraph" w:styleId="ListBullet2">
    <w:name w:val="List Bullet 2"/>
    <w:basedOn w:val="Normal"/>
    <w:uiPriority w:val="2"/>
    <w:rsid w:val="00316310"/>
    <w:pPr>
      <w:numPr>
        <w:ilvl w:val="1"/>
        <w:numId w:val="19"/>
      </w:numPr>
      <w:spacing w:after="60"/>
    </w:pPr>
  </w:style>
  <w:style w:type="paragraph" w:styleId="ListBullet3">
    <w:name w:val="List Bullet 3"/>
    <w:basedOn w:val="Normal"/>
    <w:uiPriority w:val="2"/>
    <w:rsid w:val="00316310"/>
    <w:pPr>
      <w:numPr>
        <w:ilvl w:val="2"/>
        <w:numId w:val="19"/>
      </w:numPr>
      <w:spacing w:after="60"/>
    </w:pPr>
  </w:style>
  <w:style w:type="paragraph" w:styleId="ListBullet4">
    <w:name w:val="List Bullet 4"/>
    <w:basedOn w:val="Normal"/>
    <w:uiPriority w:val="2"/>
    <w:rsid w:val="00316310"/>
    <w:pPr>
      <w:numPr>
        <w:ilvl w:val="3"/>
        <w:numId w:val="19"/>
      </w:numPr>
      <w:spacing w:after="60"/>
    </w:pPr>
  </w:style>
  <w:style w:type="paragraph" w:styleId="ListBullet5">
    <w:name w:val="List Bullet 5"/>
    <w:basedOn w:val="Normal"/>
    <w:uiPriority w:val="2"/>
    <w:rsid w:val="00316310"/>
    <w:pPr>
      <w:numPr>
        <w:ilvl w:val="4"/>
        <w:numId w:val="19"/>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20"/>
      </w:numPr>
      <w:spacing w:after="60"/>
    </w:pPr>
  </w:style>
  <w:style w:type="paragraph" w:styleId="ListNumber2">
    <w:name w:val="List Number 2"/>
    <w:basedOn w:val="Normal"/>
    <w:uiPriority w:val="2"/>
    <w:rsid w:val="00316310"/>
    <w:pPr>
      <w:numPr>
        <w:ilvl w:val="1"/>
        <w:numId w:val="20"/>
      </w:numPr>
      <w:spacing w:after="60"/>
    </w:pPr>
  </w:style>
  <w:style w:type="paragraph" w:styleId="ListNumber3">
    <w:name w:val="List Number 3"/>
    <w:basedOn w:val="Normal"/>
    <w:uiPriority w:val="2"/>
    <w:rsid w:val="00316310"/>
    <w:pPr>
      <w:numPr>
        <w:ilvl w:val="2"/>
        <w:numId w:val="20"/>
      </w:numPr>
      <w:spacing w:after="60"/>
    </w:pPr>
  </w:style>
  <w:style w:type="paragraph" w:styleId="ListNumber4">
    <w:name w:val="List Number 4"/>
    <w:basedOn w:val="Normal"/>
    <w:uiPriority w:val="2"/>
    <w:rsid w:val="00316310"/>
    <w:pPr>
      <w:numPr>
        <w:ilvl w:val="3"/>
        <w:numId w:val="20"/>
      </w:numPr>
      <w:spacing w:after="60"/>
    </w:pPr>
  </w:style>
  <w:style w:type="paragraph" w:styleId="ListNumber5">
    <w:name w:val="List Number 5"/>
    <w:basedOn w:val="Normal"/>
    <w:uiPriority w:val="2"/>
    <w:rsid w:val="00316310"/>
    <w:pPr>
      <w:numPr>
        <w:ilvl w:val="4"/>
        <w:numId w:val="20"/>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1879E1"/>
  </w:style>
  <w:style w:type="character" w:customStyle="1" w:styleId="BodyTextChar">
    <w:name w:val="Body Text Char"/>
    <w:basedOn w:val="DefaultParagraphFont"/>
    <w:link w:val="BodyText"/>
    <w:rsid w:val="001879E1"/>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iPriority w:val="99"/>
    <w:unhideWhenUsed/>
    <w:rsid w:val="00316310"/>
  </w:style>
  <w:style w:type="character" w:customStyle="1" w:styleId="HeaderChar">
    <w:name w:val="Header Char"/>
    <w:basedOn w:val="DefaultParagraphFont"/>
    <w:link w:val="Header"/>
    <w:uiPriority w:val="99"/>
    <w:rsid w:val="00316310"/>
    <w:rPr>
      <w:sz w:val="24"/>
      <w:szCs w:val="24"/>
    </w:rPr>
  </w:style>
  <w:style w:type="paragraph" w:styleId="Caption">
    <w:name w:val="caption"/>
    <w:basedOn w:val="Normal"/>
    <w:next w:val="Normal"/>
    <w:uiPriority w:val="35"/>
    <w:unhideWhenUsed/>
    <w:rsid w:val="00316310"/>
    <w:pPr>
      <w:keepNext/>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99"/>
    <w:qFormat/>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23"/>
      </w:numPr>
    </w:pPr>
  </w:style>
  <w:style w:type="paragraph" w:customStyle="1" w:styleId="TableNumber">
    <w:name w:val="Table Number"/>
    <w:basedOn w:val="TableText"/>
    <w:uiPriority w:val="4"/>
    <w:qFormat/>
    <w:rsid w:val="00316310"/>
    <w:pPr>
      <w:numPr>
        <w:numId w:val="24"/>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character" w:styleId="PageNumber">
    <w:name w:val="page number"/>
    <w:basedOn w:val="DefaultParagraphFont"/>
    <w:rsid w:val="001F726F"/>
  </w:style>
  <w:style w:type="paragraph" w:styleId="FootnoteText">
    <w:name w:val="footnote text"/>
    <w:basedOn w:val="Normal"/>
    <w:link w:val="FootnoteTextChar"/>
    <w:rsid w:val="001F726F"/>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1F726F"/>
    <w:rPr>
      <w:rFonts w:ascii="Times New Roman" w:hAnsi="Times New Roman" w:cs="Times New Roman"/>
      <w:sz w:val="20"/>
      <w:szCs w:val="20"/>
      <w:lang w:eastAsia="en-AU"/>
    </w:rPr>
  </w:style>
  <w:style w:type="character" w:styleId="FootnoteReference">
    <w:name w:val="footnote reference"/>
    <w:qFormat/>
    <w:rsid w:val="001F726F"/>
    <w:rPr>
      <w:vertAlign w:val="superscript"/>
    </w:rPr>
  </w:style>
  <w:style w:type="table" w:customStyle="1" w:styleId="ColorfulList-Accent21">
    <w:name w:val="Colorful List - Accent 21"/>
    <w:basedOn w:val="TableNormal"/>
    <w:next w:val="ColorfulList-Accent2"/>
    <w:uiPriority w:val="72"/>
    <w:rsid w:val="001F726F"/>
    <w:pPr>
      <w:spacing w:after="0" w:line="240" w:lineRule="auto"/>
    </w:pPr>
    <w:rPr>
      <w:rFonts w:ascii="Times New Roman" w:hAnsi="Times New Roman" w:cs="Times New Roman"/>
      <w:color w:val="000000" w:themeColor="text1"/>
      <w:sz w:val="20"/>
      <w:szCs w:val="20"/>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1-Accent4">
    <w:name w:val="Medium Grid 1 Accent 4"/>
    <w:basedOn w:val="TableNormal"/>
    <w:uiPriority w:val="67"/>
    <w:rsid w:val="001F726F"/>
    <w:pPr>
      <w:spacing w:after="0" w:line="240" w:lineRule="auto"/>
    </w:pPr>
    <w:rPr>
      <w:rFonts w:eastAsiaTheme="minorHAns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List-Accent2">
    <w:name w:val="Colorful List Accent 2"/>
    <w:basedOn w:val="TableNormal"/>
    <w:uiPriority w:val="72"/>
    <w:semiHidden/>
    <w:unhideWhenUsed/>
    <w:rsid w:val="001F726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NormalWeb">
    <w:name w:val="Normal (Web)"/>
    <w:basedOn w:val="Normal"/>
    <w:uiPriority w:val="99"/>
    <w:semiHidden/>
    <w:unhideWhenUsed/>
    <w:rsid w:val="00423A76"/>
    <w:pPr>
      <w:spacing w:after="150"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133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44966"/>
    <w:rPr>
      <w:sz w:val="16"/>
      <w:szCs w:val="16"/>
    </w:rPr>
  </w:style>
  <w:style w:type="paragraph" w:styleId="CommentText">
    <w:name w:val="annotation text"/>
    <w:basedOn w:val="Normal"/>
    <w:link w:val="CommentTextChar"/>
    <w:uiPriority w:val="99"/>
    <w:semiHidden/>
    <w:unhideWhenUsed/>
    <w:rsid w:val="00644966"/>
    <w:pPr>
      <w:spacing w:line="240" w:lineRule="auto"/>
    </w:pPr>
    <w:rPr>
      <w:sz w:val="20"/>
      <w:szCs w:val="20"/>
    </w:rPr>
  </w:style>
  <w:style w:type="character" w:customStyle="1" w:styleId="CommentTextChar">
    <w:name w:val="Comment Text Char"/>
    <w:basedOn w:val="DefaultParagraphFont"/>
    <w:link w:val="CommentText"/>
    <w:uiPriority w:val="99"/>
    <w:semiHidden/>
    <w:rsid w:val="0064496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44966"/>
    <w:rPr>
      <w:b/>
      <w:bCs/>
    </w:rPr>
  </w:style>
  <w:style w:type="character" w:customStyle="1" w:styleId="CommentSubjectChar">
    <w:name w:val="Comment Subject Char"/>
    <w:basedOn w:val="CommentTextChar"/>
    <w:link w:val="CommentSubject"/>
    <w:uiPriority w:val="99"/>
    <w:semiHidden/>
    <w:rsid w:val="00644966"/>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402">
      <w:bodyDiv w:val="1"/>
      <w:marLeft w:val="0"/>
      <w:marRight w:val="0"/>
      <w:marTop w:val="0"/>
      <w:marBottom w:val="0"/>
      <w:divBdr>
        <w:top w:val="none" w:sz="0" w:space="0" w:color="auto"/>
        <w:left w:val="none" w:sz="0" w:space="0" w:color="auto"/>
        <w:bottom w:val="none" w:sz="0" w:space="0" w:color="auto"/>
        <w:right w:val="none" w:sz="0" w:space="0" w:color="auto"/>
      </w:divBdr>
    </w:div>
    <w:div w:id="302657607">
      <w:bodyDiv w:val="1"/>
      <w:marLeft w:val="0"/>
      <w:marRight w:val="0"/>
      <w:marTop w:val="0"/>
      <w:marBottom w:val="0"/>
      <w:divBdr>
        <w:top w:val="none" w:sz="0" w:space="0" w:color="auto"/>
        <w:left w:val="none" w:sz="0" w:space="0" w:color="auto"/>
        <w:bottom w:val="none" w:sz="0" w:space="0" w:color="auto"/>
        <w:right w:val="none" w:sz="0" w:space="0" w:color="auto"/>
      </w:divBdr>
    </w:div>
    <w:div w:id="306519100">
      <w:bodyDiv w:val="1"/>
      <w:marLeft w:val="0"/>
      <w:marRight w:val="0"/>
      <w:marTop w:val="0"/>
      <w:marBottom w:val="0"/>
      <w:divBdr>
        <w:top w:val="none" w:sz="0" w:space="0" w:color="auto"/>
        <w:left w:val="none" w:sz="0" w:space="0" w:color="auto"/>
        <w:bottom w:val="none" w:sz="0" w:space="0" w:color="auto"/>
        <w:right w:val="none" w:sz="0" w:space="0" w:color="auto"/>
      </w:divBdr>
    </w:div>
    <w:div w:id="341399047">
      <w:bodyDiv w:val="1"/>
      <w:marLeft w:val="0"/>
      <w:marRight w:val="0"/>
      <w:marTop w:val="0"/>
      <w:marBottom w:val="0"/>
      <w:divBdr>
        <w:top w:val="none" w:sz="0" w:space="0" w:color="auto"/>
        <w:left w:val="none" w:sz="0" w:space="0" w:color="auto"/>
        <w:bottom w:val="none" w:sz="0" w:space="0" w:color="auto"/>
        <w:right w:val="none" w:sz="0" w:space="0" w:color="auto"/>
      </w:divBdr>
    </w:div>
    <w:div w:id="1099718814">
      <w:bodyDiv w:val="1"/>
      <w:marLeft w:val="0"/>
      <w:marRight w:val="0"/>
      <w:marTop w:val="0"/>
      <w:marBottom w:val="0"/>
      <w:divBdr>
        <w:top w:val="none" w:sz="0" w:space="0" w:color="auto"/>
        <w:left w:val="none" w:sz="0" w:space="0" w:color="auto"/>
        <w:bottom w:val="none" w:sz="0" w:space="0" w:color="auto"/>
        <w:right w:val="none" w:sz="0" w:space="0" w:color="auto"/>
      </w:divBdr>
      <w:divsChild>
        <w:div w:id="775565230">
          <w:marLeft w:val="0"/>
          <w:marRight w:val="0"/>
          <w:marTop w:val="0"/>
          <w:marBottom w:val="0"/>
          <w:divBdr>
            <w:top w:val="none" w:sz="0" w:space="0" w:color="auto"/>
            <w:left w:val="none" w:sz="0" w:space="0" w:color="auto"/>
            <w:bottom w:val="none" w:sz="0" w:space="0" w:color="auto"/>
            <w:right w:val="none" w:sz="0" w:space="0" w:color="auto"/>
          </w:divBdr>
          <w:divsChild>
            <w:div w:id="803428136">
              <w:marLeft w:val="0"/>
              <w:marRight w:val="0"/>
              <w:marTop w:val="0"/>
              <w:marBottom w:val="0"/>
              <w:divBdr>
                <w:top w:val="none" w:sz="0" w:space="0" w:color="auto"/>
                <w:left w:val="none" w:sz="0" w:space="0" w:color="auto"/>
                <w:bottom w:val="none" w:sz="0" w:space="0" w:color="auto"/>
                <w:right w:val="none" w:sz="0" w:space="0" w:color="auto"/>
              </w:divBdr>
              <w:divsChild>
                <w:div w:id="1838810507">
                  <w:marLeft w:val="0"/>
                  <w:marRight w:val="0"/>
                  <w:marTop w:val="0"/>
                  <w:marBottom w:val="0"/>
                  <w:divBdr>
                    <w:top w:val="none" w:sz="0" w:space="0" w:color="auto"/>
                    <w:left w:val="none" w:sz="0" w:space="0" w:color="auto"/>
                    <w:bottom w:val="none" w:sz="0" w:space="0" w:color="auto"/>
                    <w:right w:val="none" w:sz="0" w:space="0" w:color="auto"/>
                  </w:divBdr>
                  <w:divsChild>
                    <w:div w:id="2057657777">
                      <w:marLeft w:val="-300"/>
                      <w:marRight w:val="0"/>
                      <w:marTop w:val="0"/>
                      <w:marBottom w:val="0"/>
                      <w:divBdr>
                        <w:top w:val="none" w:sz="0" w:space="0" w:color="auto"/>
                        <w:left w:val="none" w:sz="0" w:space="0" w:color="auto"/>
                        <w:bottom w:val="none" w:sz="0" w:space="0" w:color="auto"/>
                        <w:right w:val="none" w:sz="0" w:space="0" w:color="auto"/>
                      </w:divBdr>
                      <w:divsChild>
                        <w:div w:id="1723943701">
                          <w:marLeft w:val="0"/>
                          <w:marRight w:val="0"/>
                          <w:marTop w:val="0"/>
                          <w:marBottom w:val="0"/>
                          <w:divBdr>
                            <w:top w:val="none" w:sz="0" w:space="0" w:color="auto"/>
                            <w:left w:val="none" w:sz="0" w:space="0" w:color="auto"/>
                            <w:bottom w:val="none" w:sz="0" w:space="0" w:color="auto"/>
                            <w:right w:val="none" w:sz="0" w:space="0" w:color="auto"/>
                          </w:divBdr>
                          <w:divsChild>
                            <w:div w:id="6876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3.emf"/><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
    <OurDocsDocId xmlns="dce3ed02-b0cd-470d-9119-e5f1a2533a21"/>
    <OurDocsVersionCreatedBy xmlns="dce3ed02-b0cd-470d-9119-e5f1a2533a21">MIISBSP</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2015-05-03T16:00:00+00:00</OurDocsDocumentDate>
    <OurDocsVersionCreatedAt xmlns="dce3ed02-b0cd-470d-9119-e5f1a2533a21">2015-05-04T07:55:02+00:00</OurDocsVersionCreatedAt>
    <OurDocsReleaseClassification xmlns="dce3ed02-b0cd-470d-9119-e5f1a2533a21">Departmental Use Only</OurDocsReleaseClassification>
    <OurDocsTitle xmlns="dce3ed02-b0cd-470d-9119-e5f1a2533a21">Normal document template</OurDocsTitle>
    <OurDocsLocation xmlns="dce3ed02-b0cd-470d-9119-e5f1a2533a21">Perth</OurDocsLocation>
    <OurDocsDescription xmlns="dce3ed02-b0cd-470d-9119-e5f1a2533a21" xsi:nil="true"/>
    <OurDocsVersionReason xmlns="dce3ed02-b0cd-470d-9119-e5f1a2533a21" xsi:nil="true"/>
    <OurDocsAuthor xmlns="dce3ed02-b0cd-470d-9119-e5f1a2533a21">Sam Prosser</OurDocsAuthor>
    <OurDocsLockedBy xmlns="dce3ed02-b0cd-470d-9119-e5f1a2533a21" xsi:nil="true"/>
    <OurDocsLockedOn xmlns="dce3ed02-b0cd-470d-9119-e5f1a2533a21" xsi:nil="true"/>
    <OurDocsVersionNumber xmlns="dce3ed02-b0cd-470d-9119-e5f1a2533a21"/>
    <OurDocsDocumentSource xmlns="dce3ed02-b0cd-470d-9119-e5f1a2533a21">Internal</OurDocsDocumentSource>
  </documentManagement>
</p:properties>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E898D81F2D0BC40B261BF61BF074CB8" ma:contentTypeVersion="52" ma:contentTypeDescription="Create a new document." ma:contentTypeScope="" ma:versionID="d9be4bfb861e23d3fc969b4cd1cad77b">
  <xsd:schema xmlns:xsd="http://www.w3.org/2001/XMLSchema" xmlns:xs="http://www.w3.org/2001/XMLSchema" xmlns:p="http://schemas.microsoft.com/office/2006/metadata/properties" xmlns:ns2="dce3ed02-b0cd-470d-9119-e5f1a2533a21" targetNamespace="http://schemas.microsoft.com/office/2006/metadata/properties" ma:root="true" ma:fieldsID="d6fc7f555b4b50738d5ce00429abb5da"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65F1F92071475276E05315230A0A9CBF" version="1.0.0">
  <systemFields>
    <field name="Objective-Id">
      <value order="0">A25960847</value>
    </field>
    <field name="Objective-Title">
      <value order="0">AWR Submission - WA Government</value>
    </field>
    <field name="Objective-Description">
      <value order="0"/>
    </field>
    <field name="Objective-CreationStamp">
      <value order="0">2019-02-06T02:04:47Z</value>
    </field>
    <field name="Objective-IsApproved">
      <value order="0">false</value>
    </field>
    <field name="Objective-IsPublished">
      <value order="0">false</value>
    </field>
    <field name="Objective-DatePublished">
      <value order="0"/>
    </field>
    <field name="Objective-ModificationStamp">
      <value order="0">2019-03-15T01:50:29Z</value>
    </field>
    <field name="Objective-Owner">
      <value order="0">ENTREKIN, Brendon</value>
    </field>
    <field name="Objective-Path">
      <value order="0">Global Folder:'DMIRS:Safety Regulation:Private Sector Labour Relations:Policy and Legal Directorate:Remuneration Management:Cases:Wage Case 2019:5. Annual Wage Review</value>
    </field>
    <field name="Objective-Parent">
      <value order="0">5. Annual Wage Review</value>
    </field>
    <field name="Objective-State">
      <value order="0">Being Edited</value>
    </field>
    <field name="Objective-VersionId">
      <value order="0">vA28186878</value>
    </field>
    <field name="Objective-Version">
      <value order="0">11.1</value>
    </field>
    <field name="Objective-VersionNumber">
      <value order="0">14</value>
    </field>
    <field name="Objective-VersionComment">
      <value order="0"/>
    </field>
    <field name="Objective-FileNumber">
      <value order="0">qA1081550</value>
    </field>
    <field name="Objective-Classification">
      <value order="0"/>
    </field>
    <field name="Objective-Caveats">
      <value order="0"/>
    </field>
  </systemFields>
  <catalogues>
    <catalogue name="Document Type Catalogue" type="type" ori="id:cA14">
      <field name="Objective-Document Types">
        <value order="0">Other</value>
      </field>
      <field name="Objective-External Reference">
        <value order="0"/>
      </field>
      <field name="Objective-Author">
        <value order="0">uA892</value>
      </field>
      <field name="Objective-Date of Document">
        <value order="0"/>
      </field>
    </catalogue>
  </catalogues>
</metadata>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ADC5-CA70-492B-ADE4-CBBC617A2699}">
  <ds:schemaRefs>
    <ds:schemaRef ds:uri="http://purl.org/dc/elements/1.1/"/>
    <ds:schemaRef ds:uri="dce3ed02-b0cd-470d-9119-e5f1a2533a21"/>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5C1DC7A7-3E58-4F86-9608-FA39CF04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4.xml><?xml version="1.0" encoding="utf-8"?>
<ds:datastoreItem xmlns:ds="http://schemas.openxmlformats.org/officeDocument/2006/customXml" ds:itemID="{FD8DBCA5-578A-47BB-A528-64509AC8E9CC}">
  <ds:schemaRefs>
    <ds:schemaRef ds:uri="Microsoft.SharePoint.Taxonomy.ContentTypeSync"/>
  </ds:schemaRefs>
</ds:datastoreItem>
</file>

<file path=customXml/itemProps5.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6.xml><?xml version="1.0" encoding="utf-8"?>
<ds:datastoreItem xmlns:ds="http://schemas.openxmlformats.org/officeDocument/2006/customXml" ds:itemID="{9B832C0B-C4C8-48F5-9E5F-4BD248BF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9730928B</Template>
  <TotalTime>1</TotalTime>
  <Pages>20</Pages>
  <Words>5871</Words>
  <Characters>31234</Characters>
  <Application>Microsoft Office Word</Application>
  <DocSecurity>0</DocSecurity>
  <Lines>709</Lines>
  <Paragraphs>319</Paragraphs>
  <ScaleCrop>false</ScaleCrop>
  <HeadingPairs>
    <vt:vector size="2" baseType="variant">
      <vt:variant>
        <vt:lpstr>Title</vt:lpstr>
      </vt:variant>
      <vt:variant>
        <vt:i4>1</vt:i4>
      </vt:variant>
    </vt:vector>
  </HeadingPairs>
  <TitlesOfParts>
    <vt:vector size="1" baseType="lpstr">
      <vt:lpstr/>
    </vt:vector>
  </TitlesOfParts>
  <Company>Department of Mines and Petroleum</Company>
  <LinksUpToDate>false</LinksUpToDate>
  <CharactersWithSpaces>36786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ENTREKIN, Brendon</dc:creator>
  <cp:keywords/>
  <dc:description/>
  <cp:lastModifiedBy>ENTREKIN, Brendon</cp:lastModifiedBy>
  <cp:revision>2</cp:revision>
  <cp:lastPrinted>2019-03-07T05:58:00Z</cp:lastPrinted>
  <dcterms:created xsi:type="dcterms:W3CDTF">2019-03-15T06:50:00Z</dcterms:created>
  <dcterms:modified xsi:type="dcterms:W3CDTF">2019-03-15T06:50:00Z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A25960847</vt:lpwstr>
  </property>
  <property fmtid="{D5CDD505-2E9C-101B-9397-08002B2CF9AE}" pid="4" name="Objective-Title">
    <vt:lpwstr>AWR Submission - WA Government</vt:lpwstr>
  </property>
  <property fmtid="{D5CDD505-2E9C-101B-9397-08002B2CF9AE}" pid="5" name="Objective-Description">
    <vt:lpwstr/>
  </property>
  <property fmtid="{D5CDD505-2E9C-101B-9397-08002B2CF9AE}" pid="6" name="Objective-CreationStamp">
    <vt:filetime>2019-02-06T02:05:02Z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2019-03-15T01:50:29Z</vt:filetime>
  </property>
  <property fmtid="{D5CDD505-2E9C-101B-9397-08002B2CF9AE}" pid="11" name="Objective-Owner">
    <vt:lpwstr>ENTREKIN, Brendon</vt:lpwstr>
  </property>
  <property fmtid="{D5CDD505-2E9C-101B-9397-08002B2CF9AE}" pid="12" name="Objective-Path">
    <vt:lpwstr>Global Folder:'DMIRS:Safety Regulation:Private Sector Labour Relations:Policy and Legal Directorate:Remuneration Management:Cases:Wage Case 2019:5. Annual Wage Review:</vt:lpwstr>
  </property>
  <property fmtid="{D5CDD505-2E9C-101B-9397-08002B2CF9AE}" pid="13" name="Objective-Parent">
    <vt:lpwstr>5. Annual Wage Review</vt:lpwstr>
  </property>
  <property fmtid="{D5CDD505-2E9C-101B-9397-08002B2CF9AE}" pid="14" name="Objective-State">
    <vt:lpwstr>Being Edited</vt:lpwstr>
  </property>
  <property fmtid="{D5CDD505-2E9C-101B-9397-08002B2CF9AE}" pid="15" name="Objective-VersionId">
    <vt:lpwstr>vA28186878</vt:lpwstr>
  </property>
  <property fmtid="{D5CDD505-2E9C-101B-9397-08002B2CF9AE}" pid="16" name="Objective-Version">
    <vt:lpwstr>11.1</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LR0089/2018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s">
    <vt:lpwstr>Other</vt:lpwstr>
  </property>
  <property fmtid="{D5CDD505-2E9C-101B-9397-08002B2CF9AE}" pid="23" name="Objective-External Reference">
    <vt:lpwstr/>
  </property>
  <property fmtid="{D5CDD505-2E9C-101B-9397-08002B2CF9AE}" pid="24" name="Objective-Author">
    <vt:lpwstr>uA892</vt:lpwstr>
  </property>
  <property fmtid="{D5CDD505-2E9C-101B-9397-08002B2CF9AE}" pid="25" name="Objective-Date of Document">
    <vt:lpwstr/>
  </property>
  <property fmtid="{D5CDD505-2E9C-101B-9397-08002B2CF9AE}" pid="26" name="Objective-Comment">
    <vt:lpwstr/>
  </property>
  <property fmtid="{D5CDD505-2E9C-101B-9397-08002B2CF9AE}" pid="27" name="Objective-Document Types [system]">
    <vt:lpwstr>Other</vt:lpwstr>
  </property>
  <property fmtid="{D5CDD505-2E9C-101B-9397-08002B2CF9AE}" pid="28" name="Objective-Author [system]">
    <vt:lpwstr>ENTREKIN, Brendon</vt:lpwstr>
  </property>
  <property fmtid="{D5CDD505-2E9C-101B-9397-08002B2CF9AE}" pid="29" name="Objective-Date of Document [system]">
    <vt:lpwstr/>
  </property>
  <property fmtid="{D5CDD505-2E9C-101B-9397-08002B2CF9AE}" pid="30" name="Objective-External Reference [system]">
    <vt:lpwstr/>
  </property>
</Properties>
</file>