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D720" w14:textId="7D2F0C15" w:rsidR="00145928" w:rsidRDefault="004C5D90" w:rsidP="00145928">
      <w:pPr>
        <w:pStyle w:val="Heading1"/>
      </w:pPr>
      <w:bookmarkStart w:id="0" w:name="_Toc93937048"/>
      <w:bookmarkStart w:id="1" w:name="_Toc93937493"/>
      <w:bookmarkStart w:id="2" w:name="_Toc93938628"/>
      <w:bookmarkStart w:id="3" w:name="_Toc93939202"/>
      <w:bookmarkStart w:id="4" w:name="_Toc93956105"/>
      <w:bookmarkStart w:id="5" w:name="_Toc99447780"/>
      <w:bookmarkStart w:id="6" w:name="_Toc95124021"/>
      <w:bookmarkStart w:id="7" w:name="_Toc95144410"/>
      <w:bookmarkStart w:id="8" w:name="_Toc99551055"/>
      <w:bookmarkStart w:id="9" w:name="_Toc100569773"/>
      <w:bookmarkStart w:id="10" w:name="_Toc100574332"/>
      <w:bookmarkStart w:id="11" w:name="_Toc100574391"/>
      <w:r>
        <w:t>Information note—</w:t>
      </w:r>
      <w:r>
        <w:br/>
      </w:r>
      <w:bookmarkEnd w:id="0"/>
      <w:bookmarkEnd w:id="1"/>
      <w:bookmarkEnd w:id="2"/>
      <w:bookmarkEnd w:id="3"/>
      <w:bookmarkEnd w:id="4"/>
      <w:bookmarkEnd w:id="5"/>
      <w:bookmarkEnd w:id="6"/>
      <w:bookmarkEnd w:id="7"/>
      <w:bookmarkEnd w:id="8"/>
      <w:r w:rsidRPr="00FA5F71">
        <w:rPr>
          <w:bCs/>
        </w:rPr>
        <w:t xml:space="preserve">Summary of </w:t>
      </w:r>
      <w:r>
        <w:rPr>
          <w:bCs/>
        </w:rPr>
        <w:t xml:space="preserve">measures from the </w:t>
      </w:r>
      <w:r>
        <w:rPr>
          <w:bCs/>
        </w:rPr>
        <w:br/>
        <w:t>2022–23 Budget</w:t>
      </w:r>
      <w:bookmarkEnd w:id="9"/>
      <w:bookmarkEnd w:id="10"/>
      <w:bookmarkEnd w:id="11"/>
    </w:p>
    <w:p w14:paraId="679A831D" w14:textId="2DA4D597" w:rsidR="00145928" w:rsidRPr="00145928" w:rsidRDefault="00145928" w:rsidP="00145928">
      <w:r>
        <w:rPr>
          <w:b/>
          <w:caps/>
          <w:noProof/>
          <w:color w:val="E7B100" w:themeColor="accent1"/>
          <w:sz w:val="25"/>
        </w:rPr>
        <mc:AlternateContent>
          <mc:Choice Requires="wps">
            <w:drawing>
              <wp:anchor distT="0" distB="0" distL="114300" distR="114300" simplePos="0" relativeHeight="251658240" behindDoc="0" locked="0" layoutInCell="1" allowOverlap="1" wp14:anchorId="27A2C478" wp14:editId="2A57F56E">
                <wp:simplePos x="0" y="0"/>
                <wp:positionH relativeFrom="column">
                  <wp:posOffset>0</wp:posOffset>
                </wp:positionH>
                <wp:positionV relativeFrom="paragraph">
                  <wp:posOffset>12065</wp:posOffset>
                </wp:positionV>
                <wp:extent cx="1434905" cy="0"/>
                <wp:effectExtent l="0" t="12700" r="26035" b="25400"/>
                <wp:wrapNone/>
                <wp:docPr id="44" name="Straight Connector 44"/>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544EDA30">
              <v:line id="Straight Connector 44"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6cb744" strokeweight="2.5pt" from="0,.95pt" to="113pt,.95pt" w14:anchorId="080D1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v:stroke joinstyle="miter"/>
              </v:line>
            </w:pict>
          </mc:Fallback>
        </mc:AlternateContent>
      </w:r>
    </w:p>
    <w:p w14:paraId="178641ED" w14:textId="5B95172F" w:rsidR="00115E1F" w:rsidRPr="00115E1F" w:rsidRDefault="00AB0D5D" w:rsidP="00B3202D">
      <w:pPr>
        <w:pStyle w:val="IntroPara"/>
      </w:pPr>
      <w:r>
        <w:t>14</w:t>
      </w:r>
      <w:r w:rsidR="004C5D90">
        <w:t xml:space="preserve"> April 2022</w:t>
      </w:r>
      <w:r w:rsidR="00115E1F" w:rsidRPr="00115E1F">
        <w:t xml:space="preserve"> </w:t>
      </w:r>
    </w:p>
    <w:p w14:paraId="1F7350EA" w14:textId="1C6086FE" w:rsidR="00D733B9" w:rsidRDefault="00D733B9" w:rsidP="00D733B9">
      <w:r>
        <w:rPr>
          <w:lang w:val="en-US"/>
        </w:rPr>
        <w:t xml:space="preserve">This note provides </w:t>
      </w:r>
      <w:r w:rsidR="00DF5341">
        <w:rPr>
          <w:lang w:val="en-US"/>
        </w:rPr>
        <w:t xml:space="preserve">a summary of the </w:t>
      </w:r>
      <w:r>
        <w:rPr>
          <w:lang w:val="en-US"/>
        </w:rPr>
        <w:t xml:space="preserve">measures </w:t>
      </w:r>
      <w:r w:rsidR="00DF5341">
        <w:rPr>
          <w:lang w:val="en-US"/>
        </w:rPr>
        <w:t xml:space="preserve">relevant to the Annual Wage Review 2021–22 discussed in the 2022–23 </w:t>
      </w:r>
      <w:r>
        <w:rPr>
          <w:lang w:val="en-US"/>
        </w:rPr>
        <w:t>Budget</w:t>
      </w:r>
      <w:r w:rsidR="00DF5341">
        <w:rPr>
          <w:lang w:val="en-US"/>
        </w:rPr>
        <w:t>, released on 29 March 2022</w:t>
      </w:r>
      <w:r w:rsidRPr="006104E5">
        <w:rPr>
          <w:lang w:val="en-US"/>
        </w:rPr>
        <w:t>.</w:t>
      </w:r>
      <w:r>
        <w:rPr>
          <w:lang w:val="en-US"/>
        </w:rPr>
        <w:t xml:space="preserve"> </w:t>
      </w:r>
      <w:r w:rsidR="00010CD6">
        <w:rPr>
          <w:lang w:val="en-US"/>
        </w:rPr>
        <w:t>These measures have</w:t>
      </w:r>
      <w:r>
        <w:t xml:space="preserve"> </w:t>
      </w:r>
      <w:r w:rsidR="00325914">
        <w:t>received Royal Assent unless otherwise noted.</w:t>
      </w:r>
      <w:r>
        <w:t xml:space="preserve"> </w:t>
      </w:r>
    </w:p>
    <w:p w14:paraId="2D6A99EF" w14:textId="77777777" w:rsidR="00D916E1" w:rsidRDefault="006E34AD" w:rsidP="00D916E1">
      <w:pPr>
        <w:pStyle w:val="Heading2"/>
        <w:rPr>
          <w:lang w:val="en-US"/>
        </w:rPr>
      </w:pPr>
      <w:bookmarkStart w:id="12" w:name="_Toc99447781"/>
      <w:bookmarkStart w:id="13" w:name="_Toc99551056"/>
      <w:bookmarkStart w:id="14" w:name="_Toc100313912"/>
      <w:bookmarkStart w:id="15" w:name="_Toc100569774"/>
      <w:bookmarkStart w:id="16" w:name="_Toc100574333"/>
      <w:bookmarkStart w:id="17" w:name="_Toc100574392"/>
      <w:r>
        <w:rPr>
          <w:lang w:val="en-US"/>
        </w:rPr>
        <w:t>Table of Contents</w:t>
      </w:r>
      <w:bookmarkEnd w:id="12"/>
      <w:bookmarkEnd w:id="13"/>
      <w:bookmarkEnd w:id="14"/>
      <w:bookmarkEnd w:id="15"/>
      <w:bookmarkEnd w:id="16"/>
      <w:bookmarkEnd w:id="17"/>
    </w:p>
    <w:sdt>
      <w:sdtPr>
        <w:rPr>
          <w:rFonts w:eastAsiaTheme="minorHAnsi" w:cstheme="minorBidi"/>
          <w:b w:val="0"/>
          <w:color w:val="000000" w:themeColor="text1"/>
          <w:sz w:val="22"/>
          <w:szCs w:val="22"/>
        </w:rPr>
        <w:id w:val="-1219440503"/>
        <w:docPartObj>
          <w:docPartGallery w:val="Table of Contents"/>
          <w:docPartUnique/>
        </w:docPartObj>
      </w:sdtPr>
      <w:sdtEndPr>
        <w:rPr>
          <w:noProof/>
        </w:rPr>
      </w:sdtEndPr>
      <w:sdtContent>
        <w:p w14:paraId="6AF7C213" w14:textId="0799AC10" w:rsidR="001E63DB" w:rsidRDefault="006E34AD" w:rsidP="00AB0D5D">
          <w:pPr>
            <w:pStyle w:val="Heading2"/>
            <w:spacing w:before="0"/>
            <w:rPr>
              <w:rFonts w:asciiTheme="minorHAnsi" w:eastAsiaTheme="minorEastAsia" w:hAnsiTheme="minorHAnsi"/>
              <w:noProof/>
              <w:color w:val="auto"/>
              <w:lang w:eastAsia="en-AU"/>
            </w:rPr>
          </w:pPr>
          <w:r>
            <w:rPr>
              <w:rFonts w:asciiTheme="majorHAnsi" w:hAnsiTheme="majorHAnsi"/>
              <w:color w:val="AD8400" w:themeColor="accent1" w:themeShade="BF"/>
              <w:sz w:val="32"/>
              <w:szCs w:val="32"/>
            </w:rPr>
            <w:fldChar w:fldCharType="begin"/>
          </w:r>
          <w:r>
            <w:instrText xml:space="preserve"> TOC \o "1-3" \h \z \u </w:instrText>
          </w:r>
          <w:r>
            <w:rPr>
              <w:rFonts w:asciiTheme="majorHAnsi" w:hAnsiTheme="majorHAnsi"/>
              <w:color w:val="AD8400" w:themeColor="accent1" w:themeShade="BF"/>
              <w:sz w:val="32"/>
              <w:szCs w:val="32"/>
            </w:rPr>
            <w:fldChar w:fldCharType="separate"/>
          </w:r>
        </w:p>
        <w:p w14:paraId="6BF5A525" w14:textId="1B94BFEB" w:rsidR="001E63DB" w:rsidRDefault="00853AF7">
          <w:pPr>
            <w:pStyle w:val="TOC2"/>
            <w:tabs>
              <w:tab w:val="right" w:leader="dot" w:pos="9912"/>
            </w:tabs>
            <w:rPr>
              <w:rFonts w:asciiTheme="minorHAnsi" w:eastAsiaTheme="minorEastAsia" w:hAnsiTheme="minorHAnsi"/>
              <w:noProof/>
              <w:color w:val="auto"/>
              <w:lang w:eastAsia="en-AU"/>
            </w:rPr>
          </w:pPr>
          <w:hyperlink w:anchor="_Toc100574393" w:history="1">
            <w:r w:rsidR="001E63DB" w:rsidRPr="00612AB3">
              <w:rPr>
                <w:rStyle w:val="Hyperlink"/>
                <w:noProof/>
                <w:lang w:val="en-US"/>
              </w:rPr>
              <w:t>Support for households</w:t>
            </w:r>
            <w:r w:rsidR="001E63DB">
              <w:rPr>
                <w:noProof/>
                <w:webHidden/>
              </w:rPr>
              <w:tab/>
            </w:r>
            <w:r w:rsidR="001E63DB">
              <w:rPr>
                <w:noProof/>
                <w:webHidden/>
              </w:rPr>
              <w:fldChar w:fldCharType="begin"/>
            </w:r>
            <w:r w:rsidR="001E63DB">
              <w:rPr>
                <w:noProof/>
                <w:webHidden/>
              </w:rPr>
              <w:instrText xml:space="preserve"> PAGEREF _Toc100574393 \h </w:instrText>
            </w:r>
            <w:r w:rsidR="001E63DB">
              <w:rPr>
                <w:noProof/>
                <w:webHidden/>
              </w:rPr>
            </w:r>
            <w:r w:rsidR="001E63DB">
              <w:rPr>
                <w:noProof/>
                <w:webHidden/>
              </w:rPr>
              <w:fldChar w:fldCharType="separate"/>
            </w:r>
            <w:r w:rsidR="00B3202D">
              <w:rPr>
                <w:noProof/>
                <w:webHidden/>
              </w:rPr>
              <w:t>2</w:t>
            </w:r>
            <w:r w:rsidR="001E63DB">
              <w:rPr>
                <w:noProof/>
                <w:webHidden/>
              </w:rPr>
              <w:fldChar w:fldCharType="end"/>
            </w:r>
          </w:hyperlink>
        </w:p>
        <w:p w14:paraId="49CD5F7F" w14:textId="1351E1AB" w:rsidR="001E63DB" w:rsidRDefault="00853AF7">
          <w:pPr>
            <w:pStyle w:val="TOC3"/>
            <w:tabs>
              <w:tab w:val="right" w:leader="dot" w:pos="9912"/>
            </w:tabs>
            <w:rPr>
              <w:rFonts w:asciiTheme="minorHAnsi" w:eastAsiaTheme="minorEastAsia" w:hAnsiTheme="minorHAnsi"/>
              <w:noProof/>
              <w:color w:val="auto"/>
              <w:lang w:eastAsia="en-AU"/>
            </w:rPr>
          </w:pPr>
          <w:hyperlink w:anchor="_Toc100574394" w:history="1">
            <w:r w:rsidR="001E63DB" w:rsidRPr="00612AB3">
              <w:rPr>
                <w:rStyle w:val="Hyperlink"/>
                <w:noProof/>
                <w:lang w:val="en-US"/>
              </w:rPr>
              <w:t>Increasing the low and middle income tax offset (LMITO) for the 2021–22 financial year</w:t>
            </w:r>
            <w:r w:rsidR="001E63DB">
              <w:rPr>
                <w:noProof/>
                <w:webHidden/>
              </w:rPr>
              <w:tab/>
            </w:r>
            <w:r w:rsidR="001E63DB">
              <w:rPr>
                <w:noProof/>
                <w:webHidden/>
              </w:rPr>
              <w:fldChar w:fldCharType="begin"/>
            </w:r>
            <w:r w:rsidR="001E63DB">
              <w:rPr>
                <w:noProof/>
                <w:webHidden/>
              </w:rPr>
              <w:instrText xml:space="preserve"> PAGEREF _Toc100574394 \h </w:instrText>
            </w:r>
            <w:r w:rsidR="001E63DB">
              <w:rPr>
                <w:noProof/>
                <w:webHidden/>
              </w:rPr>
            </w:r>
            <w:r w:rsidR="001E63DB">
              <w:rPr>
                <w:noProof/>
                <w:webHidden/>
              </w:rPr>
              <w:fldChar w:fldCharType="separate"/>
            </w:r>
            <w:r w:rsidR="00B3202D">
              <w:rPr>
                <w:noProof/>
                <w:webHidden/>
              </w:rPr>
              <w:t>2</w:t>
            </w:r>
            <w:r w:rsidR="001E63DB">
              <w:rPr>
                <w:noProof/>
                <w:webHidden/>
              </w:rPr>
              <w:fldChar w:fldCharType="end"/>
            </w:r>
          </w:hyperlink>
        </w:p>
        <w:p w14:paraId="66D56A12" w14:textId="289FCE89" w:rsidR="001E63DB" w:rsidRDefault="00853AF7">
          <w:pPr>
            <w:pStyle w:val="TOC3"/>
            <w:tabs>
              <w:tab w:val="right" w:leader="dot" w:pos="9912"/>
            </w:tabs>
            <w:rPr>
              <w:rFonts w:asciiTheme="minorHAnsi" w:eastAsiaTheme="minorEastAsia" w:hAnsiTheme="minorHAnsi"/>
              <w:noProof/>
              <w:color w:val="auto"/>
              <w:lang w:eastAsia="en-AU"/>
            </w:rPr>
          </w:pPr>
          <w:hyperlink w:anchor="_Toc100574395" w:history="1">
            <w:r w:rsidR="001E63DB" w:rsidRPr="00612AB3">
              <w:rPr>
                <w:rStyle w:val="Hyperlink"/>
                <w:noProof/>
                <w:lang w:val="en-US"/>
              </w:rPr>
              <w:t>Cost of living payment</w:t>
            </w:r>
            <w:r w:rsidR="001E63DB">
              <w:rPr>
                <w:noProof/>
                <w:webHidden/>
              </w:rPr>
              <w:tab/>
            </w:r>
            <w:r w:rsidR="001E63DB">
              <w:rPr>
                <w:noProof/>
                <w:webHidden/>
              </w:rPr>
              <w:fldChar w:fldCharType="begin"/>
            </w:r>
            <w:r w:rsidR="001E63DB">
              <w:rPr>
                <w:noProof/>
                <w:webHidden/>
              </w:rPr>
              <w:instrText xml:space="preserve"> PAGEREF _Toc100574395 \h </w:instrText>
            </w:r>
            <w:r w:rsidR="001E63DB">
              <w:rPr>
                <w:noProof/>
                <w:webHidden/>
              </w:rPr>
            </w:r>
            <w:r w:rsidR="001E63DB">
              <w:rPr>
                <w:noProof/>
                <w:webHidden/>
              </w:rPr>
              <w:fldChar w:fldCharType="separate"/>
            </w:r>
            <w:r w:rsidR="00B3202D">
              <w:rPr>
                <w:noProof/>
                <w:webHidden/>
              </w:rPr>
              <w:t>2</w:t>
            </w:r>
            <w:r w:rsidR="001E63DB">
              <w:rPr>
                <w:noProof/>
                <w:webHidden/>
              </w:rPr>
              <w:fldChar w:fldCharType="end"/>
            </w:r>
          </w:hyperlink>
        </w:p>
        <w:p w14:paraId="245313B3" w14:textId="7C2259E3" w:rsidR="001E63DB" w:rsidRDefault="00853AF7">
          <w:pPr>
            <w:pStyle w:val="TOC3"/>
            <w:tabs>
              <w:tab w:val="right" w:leader="dot" w:pos="9912"/>
            </w:tabs>
            <w:rPr>
              <w:rFonts w:asciiTheme="minorHAnsi" w:eastAsiaTheme="minorEastAsia" w:hAnsiTheme="minorHAnsi"/>
              <w:noProof/>
              <w:color w:val="auto"/>
              <w:lang w:eastAsia="en-AU"/>
            </w:rPr>
          </w:pPr>
          <w:hyperlink w:anchor="_Toc100574396" w:history="1">
            <w:r w:rsidR="001E63DB" w:rsidRPr="00612AB3">
              <w:rPr>
                <w:rStyle w:val="Hyperlink"/>
                <w:noProof/>
                <w:lang w:val="en-US"/>
              </w:rPr>
              <w:t>Increasing the Medicare levy low-income thresholds</w:t>
            </w:r>
            <w:r w:rsidR="001E63DB">
              <w:rPr>
                <w:noProof/>
                <w:webHidden/>
              </w:rPr>
              <w:tab/>
            </w:r>
            <w:r w:rsidR="001E63DB">
              <w:rPr>
                <w:noProof/>
                <w:webHidden/>
              </w:rPr>
              <w:fldChar w:fldCharType="begin"/>
            </w:r>
            <w:r w:rsidR="001E63DB">
              <w:rPr>
                <w:noProof/>
                <w:webHidden/>
              </w:rPr>
              <w:instrText xml:space="preserve"> PAGEREF _Toc100574396 \h </w:instrText>
            </w:r>
            <w:r w:rsidR="001E63DB">
              <w:rPr>
                <w:noProof/>
                <w:webHidden/>
              </w:rPr>
            </w:r>
            <w:r w:rsidR="001E63DB">
              <w:rPr>
                <w:noProof/>
                <w:webHidden/>
              </w:rPr>
              <w:fldChar w:fldCharType="separate"/>
            </w:r>
            <w:r w:rsidR="00B3202D">
              <w:rPr>
                <w:noProof/>
                <w:webHidden/>
              </w:rPr>
              <w:t>3</w:t>
            </w:r>
            <w:r w:rsidR="001E63DB">
              <w:rPr>
                <w:noProof/>
                <w:webHidden/>
              </w:rPr>
              <w:fldChar w:fldCharType="end"/>
            </w:r>
          </w:hyperlink>
        </w:p>
        <w:p w14:paraId="222787BB" w14:textId="2C18CDFB" w:rsidR="001E63DB" w:rsidRDefault="00853AF7">
          <w:pPr>
            <w:pStyle w:val="TOC3"/>
            <w:tabs>
              <w:tab w:val="right" w:leader="dot" w:pos="9912"/>
            </w:tabs>
            <w:rPr>
              <w:rFonts w:asciiTheme="minorHAnsi" w:eastAsiaTheme="minorEastAsia" w:hAnsiTheme="minorHAnsi"/>
              <w:noProof/>
              <w:color w:val="auto"/>
              <w:lang w:eastAsia="en-AU"/>
            </w:rPr>
          </w:pPr>
          <w:hyperlink w:anchor="_Toc100574397" w:history="1">
            <w:r w:rsidR="001E63DB" w:rsidRPr="00612AB3">
              <w:rPr>
                <w:rStyle w:val="Hyperlink"/>
                <w:noProof/>
                <w:lang w:val="en-US"/>
              </w:rPr>
              <w:t>Temporary reduction in fuel excise</w:t>
            </w:r>
            <w:r w:rsidR="001E63DB">
              <w:rPr>
                <w:noProof/>
                <w:webHidden/>
              </w:rPr>
              <w:tab/>
            </w:r>
            <w:r w:rsidR="001E63DB">
              <w:rPr>
                <w:noProof/>
                <w:webHidden/>
              </w:rPr>
              <w:fldChar w:fldCharType="begin"/>
            </w:r>
            <w:r w:rsidR="001E63DB">
              <w:rPr>
                <w:noProof/>
                <w:webHidden/>
              </w:rPr>
              <w:instrText xml:space="preserve"> PAGEREF _Toc100574397 \h </w:instrText>
            </w:r>
            <w:r w:rsidR="001E63DB">
              <w:rPr>
                <w:noProof/>
                <w:webHidden/>
              </w:rPr>
            </w:r>
            <w:r w:rsidR="001E63DB">
              <w:rPr>
                <w:noProof/>
                <w:webHidden/>
              </w:rPr>
              <w:fldChar w:fldCharType="separate"/>
            </w:r>
            <w:r w:rsidR="00B3202D">
              <w:rPr>
                <w:noProof/>
                <w:webHidden/>
              </w:rPr>
              <w:t>3</w:t>
            </w:r>
            <w:r w:rsidR="001E63DB">
              <w:rPr>
                <w:noProof/>
                <w:webHidden/>
              </w:rPr>
              <w:fldChar w:fldCharType="end"/>
            </w:r>
          </w:hyperlink>
        </w:p>
        <w:p w14:paraId="618ED245" w14:textId="5935A680" w:rsidR="001E63DB" w:rsidRDefault="00853AF7">
          <w:pPr>
            <w:pStyle w:val="TOC2"/>
            <w:tabs>
              <w:tab w:val="right" w:leader="dot" w:pos="9912"/>
            </w:tabs>
            <w:rPr>
              <w:rFonts w:asciiTheme="minorHAnsi" w:eastAsiaTheme="minorEastAsia" w:hAnsiTheme="minorHAnsi"/>
              <w:noProof/>
              <w:color w:val="auto"/>
              <w:lang w:eastAsia="en-AU"/>
            </w:rPr>
          </w:pPr>
          <w:hyperlink w:anchor="_Toc100574398" w:history="1">
            <w:r w:rsidR="001E63DB" w:rsidRPr="00612AB3">
              <w:rPr>
                <w:rStyle w:val="Hyperlink"/>
                <w:noProof/>
              </w:rPr>
              <w:t>Support for businesses</w:t>
            </w:r>
            <w:r w:rsidR="001E63DB">
              <w:rPr>
                <w:noProof/>
                <w:webHidden/>
              </w:rPr>
              <w:tab/>
            </w:r>
            <w:r w:rsidR="001E63DB">
              <w:rPr>
                <w:noProof/>
                <w:webHidden/>
              </w:rPr>
              <w:fldChar w:fldCharType="begin"/>
            </w:r>
            <w:r w:rsidR="001E63DB">
              <w:rPr>
                <w:noProof/>
                <w:webHidden/>
              </w:rPr>
              <w:instrText xml:space="preserve"> PAGEREF _Toc100574398 \h </w:instrText>
            </w:r>
            <w:r w:rsidR="001E63DB">
              <w:rPr>
                <w:noProof/>
                <w:webHidden/>
              </w:rPr>
            </w:r>
            <w:r w:rsidR="001E63DB">
              <w:rPr>
                <w:noProof/>
                <w:webHidden/>
              </w:rPr>
              <w:fldChar w:fldCharType="separate"/>
            </w:r>
            <w:r w:rsidR="00B3202D">
              <w:rPr>
                <w:noProof/>
                <w:webHidden/>
              </w:rPr>
              <w:t>3</w:t>
            </w:r>
            <w:r w:rsidR="001E63DB">
              <w:rPr>
                <w:noProof/>
                <w:webHidden/>
              </w:rPr>
              <w:fldChar w:fldCharType="end"/>
            </w:r>
          </w:hyperlink>
        </w:p>
        <w:p w14:paraId="3F2589E4" w14:textId="3A2C5BAA" w:rsidR="001E63DB" w:rsidRDefault="00853AF7">
          <w:pPr>
            <w:pStyle w:val="TOC3"/>
            <w:tabs>
              <w:tab w:val="right" w:leader="dot" w:pos="9912"/>
            </w:tabs>
            <w:rPr>
              <w:rFonts w:asciiTheme="minorHAnsi" w:eastAsiaTheme="minorEastAsia" w:hAnsiTheme="minorHAnsi"/>
              <w:noProof/>
              <w:color w:val="auto"/>
              <w:lang w:eastAsia="en-AU"/>
            </w:rPr>
          </w:pPr>
          <w:hyperlink w:anchor="_Toc100574399" w:history="1">
            <w:r w:rsidR="001E63DB" w:rsidRPr="00612AB3">
              <w:rPr>
                <w:rStyle w:val="Hyperlink"/>
                <w:noProof/>
                <w:lang w:val="en-US"/>
              </w:rPr>
              <w:t>Skills and training boost</w:t>
            </w:r>
            <w:r w:rsidR="001E63DB">
              <w:rPr>
                <w:noProof/>
                <w:webHidden/>
              </w:rPr>
              <w:tab/>
            </w:r>
            <w:r w:rsidR="001E63DB">
              <w:rPr>
                <w:noProof/>
                <w:webHidden/>
              </w:rPr>
              <w:fldChar w:fldCharType="begin"/>
            </w:r>
            <w:r w:rsidR="001E63DB">
              <w:rPr>
                <w:noProof/>
                <w:webHidden/>
              </w:rPr>
              <w:instrText xml:space="preserve"> PAGEREF _Toc100574399 \h </w:instrText>
            </w:r>
            <w:r w:rsidR="001E63DB">
              <w:rPr>
                <w:noProof/>
                <w:webHidden/>
              </w:rPr>
            </w:r>
            <w:r w:rsidR="001E63DB">
              <w:rPr>
                <w:noProof/>
                <w:webHidden/>
              </w:rPr>
              <w:fldChar w:fldCharType="separate"/>
            </w:r>
            <w:r w:rsidR="00B3202D">
              <w:rPr>
                <w:noProof/>
                <w:webHidden/>
              </w:rPr>
              <w:t>3</w:t>
            </w:r>
            <w:r w:rsidR="001E63DB">
              <w:rPr>
                <w:noProof/>
                <w:webHidden/>
              </w:rPr>
              <w:fldChar w:fldCharType="end"/>
            </w:r>
          </w:hyperlink>
        </w:p>
        <w:p w14:paraId="1E27CE17" w14:textId="75E3819A" w:rsidR="001E63DB" w:rsidRDefault="00853AF7">
          <w:pPr>
            <w:pStyle w:val="TOC3"/>
            <w:tabs>
              <w:tab w:val="right" w:leader="dot" w:pos="9912"/>
            </w:tabs>
            <w:rPr>
              <w:rFonts w:asciiTheme="minorHAnsi" w:eastAsiaTheme="minorEastAsia" w:hAnsiTheme="minorHAnsi"/>
              <w:noProof/>
              <w:color w:val="auto"/>
              <w:lang w:eastAsia="en-AU"/>
            </w:rPr>
          </w:pPr>
          <w:hyperlink w:anchor="_Toc100574400" w:history="1">
            <w:r w:rsidR="001E63DB" w:rsidRPr="00612AB3">
              <w:rPr>
                <w:rStyle w:val="Hyperlink"/>
                <w:noProof/>
                <w:lang w:val="en-US"/>
              </w:rPr>
              <w:t>Technology investment subsidy</w:t>
            </w:r>
            <w:r w:rsidR="001E63DB">
              <w:rPr>
                <w:noProof/>
                <w:webHidden/>
              </w:rPr>
              <w:tab/>
            </w:r>
            <w:r w:rsidR="001E63DB">
              <w:rPr>
                <w:noProof/>
                <w:webHidden/>
              </w:rPr>
              <w:fldChar w:fldCharType="begin"/>
            </w:r>
            <w:r w:rsidR="001E63DB">
              <w:rPr>
                <w:noProof/>
                <w:webHidden/>
              </w:rPr>
              <w:instrText xml:space="preserve"> PAGEREF _Toc100574400 \h </w:instrText>
            </w:r>
            <w:r w:rsidR="001E63DB">
              <w:rPr>
                <w:noProof/>
                <w:webHidden/>
              </w:rPr>
            </w:r>
            <w:r w:rsidR="001E63DB">
              <w:rPr>
                <w:noProof/>
                <w:webHidden/>
              </w:rPr>
              <w:fldChar w:fldCharType="separate"/>
            </w:r>
            <w:r w:rsidR="00B3202D">
              <w:rPr>
                <w:noProof/>
                <w:webHidden/>
              </w:rPr>
              <w:t>4</w:t>
            </w:r>
            <w:r w:rsidR="001E63DB">
              <w:rPr>
                <w:noProof/>
                <w:webHidden/>
              </w:rPr>
              <w:fldChar w:fldCharType="end"/>
            </w:r>
          </w:hyperlink>
        </w:p>
        <w:p w14:paraId="0A34FB19" w14:textId="1428F167" w:rsidR="006E34AD" w:rsidRPr="003972CD" w:rsidRDefault="00853AF7" w:rsidP="00B3202D">
          <w:pPr>
            <w:pStyle w:val="TOC3"/>
            <w:tabs>
              <w:tab w:val="right" w:leader="dot" w:pos="9912"/>
            </w:tabs>
            <w:rPr>
              <w:rFonts w:eastAsiaTheme="majorEastAsia" w:cstheme="majorBidi"/>
              <w:b/>
              <w:color w:val="0C233F"/>
              <w:sz w:val="36"/>
              <w:szCs w:val="26"/>
              <w:lang w:val="en-US"/>
            </w:rPr>
          </w:pPr>
          <w:hyperlink w:anchor="_Toc100574401" w:history="1">
            <w:r w:rsidR="001E63DB" w:rsidRPr="00612AB3">
              <w:rPr>
                <w:rStyle w:val="Hyperlink"/>
                <w:noProof/>
              </w:rPr>
              <w:t>Extending the Boosting Apprenticeship Commencements wage subsidy</w:t>
            </w:r>
            <w:r w:rsidR="001E63DB">
              <w:rPr>
                <w:noProof/>
                <w:webHidden/>
              </w:rPr>
              <w:tab/>
            </w:r>
            <w:r w:rsidR="001E63DB">
              <w:rPr>
                <w:noProof/>
                <w:webHidden/>
              </w:rPr>
              <w:fldChar w:fldCharType="begin"/>
            </w:r>
            <w:r w:rsidR="001E63DB">
              <w:rPr>
                <w:noProof/>
                <w:webHidden/>
              </w:rPr>
              <w:instrText xml:space="preserve"> PAGEREF _Toc100574401 \h </w:instrText>
            </w:r>
            <w:r w:rsidR="001E63DB">
              <w:rPr>
                <w:noProof/>
                <w:webHidden/>
              </w:rPr>
            </w:r>
            <w:r w:rsidR="001E63DB">
              <w:rPr>
                <w:noProof/>
                <w:webHidden/>
              </w:rPr>
              <w:fldChar w:fldCharType="separate"/>
            </w:r>
            <w:r w:rsidR="00B3202D">
              <w:rPr>
                <w:noProof/>
                <w:webHidden/>
              </w:rPr>
              <w:t>4</w:t>
            </w:r>
            <w:r w:rsidR="001E63DB">
              <w:rPr>
                <w:noProof/>
                <w:webHidden/>
              </w:rPr>
              <w:fldChar w:fldCharType="end"/>
            </w:r>
          </w:hyperlink>
          <w:r w:rsidR="006E34AD">
            <w:rPr>
              <w:noProof/>
            </w:rPr>
            <w:fldChar w:fldCharType="end"/>
          </w:r>
        </w:p>
      </w:sdtContent>
    </w:sdt>
    <w:p w14:paraId="20D1DB65" w14:textId="5413BD70" w:rsidR="0021342C" w:rsidRDefault="0021342C" w:rsidP="006E34AD">
      <w:pPr>
        <w:pStyle w:val="Heading2"/>
        <w:rPr>
          <w:lang w:val="en-US"/>
        </w:rPr>
      </w:pPr>
      <w:bookmarkStart w:id="18" w:name="_Toc100574393"/>
      <w:bookmarkStart w:id="19" w:name="_Hlk100313508"/>
      <w:r>
        <w:rPr>
          <w:lang w:val="en-US"/>
        </w:rPr>
        <w:lastRenderedPageBreak/>
        <w:t>Support for households</w:t>
      </w:r>
      <w:bookmarkEnd w:id="18"/>
    </w:p>
    <w:p w14:paraId="2D91AAB3" w14:textId="0943D08B" w:rsidR="006E34AD" w:rsidRPr="00C9127D" w:rsidRDefault="006E34AD" w:rsidP="00D916E1">
      <w:pPr>
        <w:pStyle w:val="Heading3"/>
        <w:rPr>
          <w:lang w:val="en-US"/>
        </w:rPr>
      </w:pPr>
      <w:bookmarkStart w:id="20" w:name="_Toc100574394"/>
      <w:r w:rsidRPr="00C9127D">
        <w:rPr>
          <w:lang w:val="en-US"/>
        </w:rPr>
        <w:t>Increas</w:t>
      </w:r>
      <w:r w:rsidR="00632734">
        <w:rPr>
          <w:lang w:val="en-US"/>
        </w:rPr>
        <w:t>ing</w:t>
      </w:r>
      <w:r w:rsidRPr="00C9127D">
        <w:rPr>
          <w:lang w:val="en-US"/>
        </w:rPr>
        <w:t xml:space="preserve"> the </w:t>
      </w:r>
      <w:proofErr w:type="gramStart"/>
      <w:r w:rsidRPr="00C9127D">
        <w:rPr>
          <w:lang w:val="en-US"/>
        </w:rPr>
        <w:t>low and middle income</w:t>
      </w:r>
      <w:proofErr w:type="gramEnd"/>
      <w:r w:rsidRPr="00C9127D">
        <w:rPr>
          <w:lang w:val="en-US"/>
        </w:rPr>
        <w:t xml:space="preserve"> tax offset</w:t>
      </w:r>
      <w:r w:rsidR="00FF07EB">
        <w:rPr>
          <w:lang w:val="en-US"/>
        </w:rPr>
        <w:t xml:space="preserve"> (LMITO)</w:t>
      </w:r>
      <w:r w:rsidR="00765564">
        <w:rPr>
          <w:lang w:val="en-US"/>
        </w:rPr>
        <w:t xml:space="preserve"> for the 2021–2</w:t>
      </w:r>
      <w:r w:rsidR="00D67D77">
        <w:rPr>
          <w:lang w:val="en-US"/>
        </w:rPr>
        <w:t>2 financial year</w:t>
      </w:r>
      <w:bookmarkEnd w:id="20"/>
    </w:p>
    <w:bookmarkEnd w:id="19"/>
    <w:p w14:paraId="484E6CD8" w14:textId="7B44CB9E" w:rsidR="006E34AD" w:rsidRPr="00C9127D" w:rsidRDefault="006E34AD" w:rsidP="00D916E1">
      <w:r w:rsidRPr="00C9127D">
        <w:t>The LMITO will be paid from 1 July 2022 when Australians submit their tax returns for the 2021</w:t>
      </w:r>
      <w:r w:rsidR="00DD70B6">
        <w:t>–</w:t>
      </w:r>
      <w:r w:rsidRPr="00C9127D">
        <w:t>22 income year. This proposal will increase the LMITO by $420</w:t>
      </w:r>
      <w:r w:rsidR="00635AD5">
        <w:t xml:space="preserve">, thereby </w:t>
      </w:r>
      <w:r w:rsidRPr="00C9127D">
        <w:t>increas</w:t>
      </w:r>
      <w:r w:rsidR="00635AD5">
        <w:t>ing</w:t>
      </w:r>
      <w:r w:rsidRPr="00C9127D">
        <w:t xml:space="preserve"> the maximum LMITO benefit </w:t>
      </w:r>
      <w:r w:rsidR="00282E92">
        <w:t>to</w:t>
      </w:r>
      <w:r w:rsidR="00282E92" w:rsidRPr="00C9127D">
        <w:t xml:space="preserve"> </w:t>
      </w:r>
      <w:r w:rsidRPr="00C9127D">
        <w:t>$1500 for individuals and $3000 for couples.</w:t>
      </w:r>
      <w:r w:rsidR="00F1023D">
        <w:rPr>
          <w:rStyle w:val="FootnoteReference"/>
        </w:rPr>
        <w:footnoteReference w:id="2"/>
      </w:r>
      <w:r w:rsidRPr="00C9127D">
        <w:t xml:space="preserve"> </w:t>
      </w:r>
    </w:p>
    <w:p w14:paraId="76406075" w14:textId="55065769" w:rsidR="006E34AD" w:rsidRDefault="006E34AD" w:rsidP="00D916E1">
      <w:r>
        <w:t xml:space="preserve">All </w:t>
      </w:r>
      <w:r w:rsidRPr="00C9127D">
        <w:t xml:space="preserve">LMITO recipients will benefit from the $420 increase </w:t>
      </w:r>
      <w:r>
        <w:t>except</w:t>
      </w:r>
      <w:r w:rsidRPr="00C9127D">
        <w:t xml:space="preserve"> those that do not require the full offset to reduce their tax liability to zero. All other features of the current LMITO remain unchanged. Consistent with the current LMITO, taxpayers with incomes of $126</w:t>
      </w:r>
      <w:r w:rsidR="008D10C7">
        <w:t xml:space="preserve"> </w:t>
      </w:r>
      <w:r w:rsidRPr="00C9127D">
        <w:t>000 or more will not receive the additional $420.</w:t>
      </w:r>
      <w:r w:rsidR="008D10C7">
        <w:rPr>
          <w:rStyle w:val="FootnoteReference"/>
        </w:rPr>
        <w:footnoteReference w:id="3"/>
      </w:r>
      <w:r w:rsidRPr="00C9127D">
        <w:t xml:space="preserve"> </w:t>
      </w:r>
    </w:p>
    <w:p w14:paraId="1EC16D0E" w14:textId="2A1015C9" w:rsidR="006E34AD" w:rsidRPr="00FC53BB" w:rsidRDefault="006E34AD" w:rsidP="00D916E1">
      <w:pPr>
        <w:pStyle w:val="Heading3"/>
        <w:rPr>
          <w:lang w:val="en-US"/>
        </w:rPr>
      </w:pPr>
      <w:bookmarkStart w:id="21" w:name="_Hlk100593968"/>
      <w:r>
        <w:rPr>
          <w:lang w:val="en-US"/>
        </w:rPr>
        <w:t>Cost</w:t>
      </w:r>
      <w:bookmarkStart w:id="22" w:name="_Toc100574395"/>
      <w:bookmarkEnd w:id="21"/>
      <w:r>
        <w:rPr>
          <w:lang w:val="en-US"/>
        </w:rPr>
        <w:t xml:space="preserve"> of </w:t>
      </w:r>
      <w:r w:rsidR="00D67D77">
        <w:rPr>
          <w:lang w:val="en-US"/>
        </w:rPr>
        <w:t>l</w:t>
      </w:r>
      <w:r>
        <w:rPr>
          <w:lang w:val="en-US"/>
        </w:rPr>
        <w:t>iving payment</w:t>
      </w:r>
      <w:bookmarkEnd w:id="22"/>
    </w:p>
    <w:p w14:paraId="7D8171FF" w14:textId="4605808C" w:rsidR="006E34AD" w:rsidRPr="00C9127D" w:rsidRDefault="006E34AD" w:rsidP="00D916E1">
      <w:r w:rsidRPr="00C9127D">
        <w:t xml:space="preserve">The Government will provide a </w:t>
      </w:r>
      <w:r w:rsidR="00C4527D">
        <w:t xml:space="preserve">one-off payment of </w:t>
      </w:r>
      <w:r w:rsidRPr="00C9127D">
        <w:t xml:space="preserve">$250 to </w:t>
      </w:r>
      <w:r w:rsidR="00C329B3">
        <w:t>help households</w:t>
      </w:r>
      <w:r w:rsidRPr="00C9127D">
        <w:t xml:space="preserve"> with higher cost of living pressures.</w:t>
      </w:r>
      <w:r w:rsidR="00BB093D">
        <w:rPr>
          <w:rStyle w:val="FootnoteReference"/>
        </w:rPr>
        <w:footnoteReference w:id="4"/>
      </w:r>
      <w:r w:rsidRPr="00C9127D">
        <w:t xml:space="preserve"> The payment </w:t>
      </w:r>
      <w:r w:rsidR="00CB63D3">
        <w:t xml:space="preserve">is </w:t>
      </w:r>
      <w:r w:rsidR="00C33254" w:rsidRPr="00C9127D">
        <w:t xml:space="preserve">exempt from taxation </w:t>
      </w:r>
      <w:r w:rsidR="00C33254">
        <w:t xml:space="preserve">and </w:t>
      </w:r>
      <w:r w:rsidRPr="00C9127D">
        <w:t>will be made in April 2022 to eligible recipients of the following payments and to concession card holders:</w:t>
      </w:r>
      <w:r w:rsidR="00CB63D3">
        <w:rPr>
          <w:rStyle w:val="FootnoteReference"/>
        </w:rPr>
        <w:footnoteReference w:id="5"/>
      </w:r>
      <w:r w:rsidRPr="00C9127D">
        <w:t xml:space="preserve"> </w:t>
      </w:r>
    </w:p>
    <w:p w14:paraId="2535E6FD" w14:textId="77777777" w:rsidR="006464E8" w:rsidRDefault="006E34AD" w:rsidP="000A054D">
      <w:pPr>
        <w:pStyle w:val="Bullet1"/>
      </w:pPr>
      <w:r w:rsidRPr="00C9127D">
        <w:t xml:space="preserve"> Age Pension</w:t>
      </w:r>
      <w:r>
        <w:t xml:space="preserve">, </w:t>
      </w:r>
      <w:r w:rsidRPr="00C9127D">
        <w:t>Disability Support Pension</w:t>
      </w:r>
      <w:r>
        <w:t>,</w:t>
      </w:r>
      <w:r w:rsidRPr="00C9127D">
        <w:t xml:space="preserve"> Parenting Payment</w:t>
      </w:r>
      <w:r>
        <w:t xml:space="preserve">, </w:t>
      </w:r>
      <w:r w:rsidRPr="00C9127D">
        <w:t>Carer Payment</w:t>
      </w:r>
      <w:r>
        <w:t xml:space="preserve">, </w:t>
      </w:r>
      <w:r w:rsidRPr="00C9127D">
        <w:t>Carer Allowance (if not in receipt of a primary income support payment)</w:t>
      </w:r>
      <w:r>
        <w:t xml:space="preserve">, </w:t>
      </w:r>
      <w:r w:rsidRPr="00C9127D">
        <w:t>Jobseeker Payment</w:t>
      </w:r>
      <w:r>
        <w:t xml:space="preserve">, </w:t>
      </w:r>
      <w:r w:rsidRPr="00C9127D">
        <w:t>Youth Allowance</w:t>
      </w:r>
      <w:r>
        <w:t xml:space="preserve">, </w:t>
      </w:r>
      <w:proofErr w:type="spellStart"/>
      <w:r w:rsidRPr="00C9127D">
        <w:t>Austudy</w:t>
      </w:r>
      <w:proofErr w:type="spellEnd"/>
      <w:r w:rsidRPr="00C9127D">
        <w:t xml:space="preserve"> and </w:t>
      </w:r>
      <w:proofErr w:type="spellStart"/>
      <w:r>
        <w:t>A</w:t>
      </w:r>
      <w:r w:rsidR="004E62EE">
        <w:t>b</w:t>
      </w:r>
      <w:r w:rsidRPr="00C9127D">
        <w:t>study</w:t>
      </w:r>
      <w:proofErr w:type="spellEnd"/>
      <w:r w:rsidRPr="00C9127D">
        <w:t xml:space="preserve"> Living Allowance</w:t>
      </w:r>
      <w:r>
        <w:t xml:space="preserve">, </w:t>
      </w:r>
      <w:r w:rsidRPr="00C9127D">
        <w:t>Double Orphan Pension</w:t>
      </w:r>
      <w:r>
        <w:t xml:space="preserve">, </w:t>
      </w:r>
      <w:r w:rsidRPr="00C9127D">
        <w:t>Special Benefit</w:t>
      </w:r>
      <w:r>
        <w:t xml:space="preserve">, </w:t>
      </w:r>
      <w:r w:rsidRPr="00C9127D">
        <w:t>Farm Household Allowance</w:t>
      </w:r>
      <w:r>
        <w:t xml:space="preserve">, </w:t>
      </w:r>
      <w:r w:rsidRPr="00C9127D">
        <w:t>Pensioner Concession Card (PCC) holders</w:t>
      </w:r>
      <w:r>
        <w:t xml:space="preserve">, </w:t>
      </w:r>
      <w:r w:rsidRPr="00C9127D">
        <w:t>Commonwealth Seniors Health Card holders</w:t>
      </w:r>
      <w:r w:rsidR="00C33254">
        <w:t>,</w:t>
      </w:r>
      <w:r>
        <w:t xml:space="preserve"> and </w:t>
      </w:r>
      <w:r w:rsidRPr="00C9127D">
        <w:t xml:space="preserve">eligible Veterans’ Affairs payment recipients and Veteran Gold card holders. </w:t>
      </w:r>
    </w:p>
    <w:p w14:paraId="7A38B912" w14:textId="3FB59202" w:rsidR="006E34AD" w:rsidRPr="00641F8B" w:rsidRDefault="0004730A" w:rsidP="00D916E1">
      <w:pPr>
        <w:pStyle w:val="Heading3"/>
        <w:rPr>
          <w:lang w:val="en-US"/>
        </w:rPr>
      </w:pPr>
      <w:bookmarkStart w:id="23" w:name="_Toc100574396"/>
      <w:r>
        <w:rPr>
          <w:lang w:val="en-US"/>
        </w:rPr>
        <w:lastRenderedPageBreak/>
        <w:t>I</w:t>
      </w:r>
      <w:r w:rsidR="006E34AD" w:rsidRPr="00FC53BB">
        <w:rPr>
          <w:lang w:val="en-US"/>
        </w:rPr>
        <w:t>ncreasing the Medicare levy low-income thresholds</w:t>
      </w:r>
      <w:bookmarkEnd w:id="23"/>
    </w:p>
    <w:p w14:paraId="1EEC2967" w14:textId="49D2D1E9" w:rsidR="006E34AD" w:rsidRDefault="006E34AD" w:rsidP="00D916E1">
      <w:r w:rsidRPr="00641F8B">
        <w:t xml:space="preserve">The Medicare levy low-income threshold will be increased from 1 July 2021 </w:t>
      </w:r>
      <w:r w:rsidR="00AA10E0" w:rsidRPr="00AA10E0">
        <w:t>so that low-income individuals continue to be exempt</w:t>
      </w:r>
      <w:r w:rsidRPr="00641F8B">
        <w:t>.</w:t>
      </w:r>
      <w:r>
        <w:t xml:space="preserve"> </w:t>
      </w:r>
      <w:r w:rsidRPr="00D4059C">
        <w:t>The threshold for singles will be increased from $23</w:t>
      </w:r>
      <w:r w:rsidR="00FD0EC0">
        <w:t xml:space="preserve"> </w:t>
      </w:r>
      <w:r w:rsidRPr="00D4059C">
        <w:t>226 to $23</w:t>
      </w:r>
      <w:r w:rsidR="00FD0EC0">
        <w:t xml:space="preserve"> </w:t>
      </w:r>
      <w:r w:rsidRPr="00D4059C">
        <w:t>365. The family threshold will be increased from $39</w:t>
      </w:r>
      <w:r w:rsidR="00FD0EC0">
        <w:t xml:space="preserve"> </w:t>
      </w:r>
      <w:r w:rsidRPr="00D4059C">
        <w:t>167 to $39</w:t>
      </w:r>
      <w:r w:rsidR="00FD0EC0">
        <w:t xml:space="preserve"> </w:t>
      </w:r>
      <w:r w:rsidRPr="00D4059C">
        <w:t>402. For each dependent child or student, the family income thresholds will increase by a further $3619 instead of the previous amount of $3597.</w:t>
      </w:r>
      <w:r w:rsidR="00AA72DA">
        <w:rPr>
          <w:rStyle w:val="FootnoteReference"/>
        </w:rPr>
        <w:footnoteReference w:id="6"/>
      </w:r>
    </w:p>
    <w:p w14:paraId="02E51FC0" w14:textId="77777777" w:rsidR="006E34AD" w:rsidRPr="007A0936" w:rsidRDefault="006E34AD" w:rsidP="00D916E1">
      <w:pPr>
        <w:pStyle w:val="Heading3"/>
        <w:rPr>
          <w:lang w:val="en-US"/>
        </w:rPr>
      </w:pPr>
      <w:bookmarkStart w:id="24" w:name="_Toc100574397"/>
      <w:r>
        <w:rPr>
          <w:lang w:val="en-US"/>
        </w:rPr>
        <w:t>Temporary reduction in fuel excise</w:t>
      </w:r>
      <w:bookmarkEnd w:id="24"/>
    </w:p>
    <w:p w14:paraId="2AFFB94E" w14:textId="2BD8971C" w:rsidR="006E34AD" w:rsidRPr="00C9127D" w:rsidRDefault="00A07216" w:rsidP="00D916E1">
      <w:pPr>
        <w:rPr>
          <w:b/>
          <w:bCs/>
        </w:rPr>
      </w:pPr>
      <w:r>
        <w:t xml:space="preserve">The fuel excise </w:t>
      </w:r>
      <w:r w:rsidR="006E34AD" w:rsidRPr="00C9127D">
        <w:t xml:space="preserve">and excise-equivalent customs duty rate that applies to petrol and diesel </w:t>
      </w:r>
      <w:r w:rsidR="000B49AD">
        <w:t>will be halved</w:t>
      </w:r>
      <w:r w:rsidR="000B49AD" w:rsidRPr="00C9127D">
        <w:t xml:space="preserve"> </w:t>
      </w:r>
      <w:r w:rsidR="006E34AD" w:rsidRPr="00C9127D">
        <w:t>for 6 months. The excise and excise-equivalent customs duty rates for all other fuel and petroleum-based products, except aviation fuels, will also be reduced by 50 per cent for 6 months</w:t>
      </w:r>
      <w:r w:rsidR="000B49AD">
        <w:t>.</w:t>
      </w:r>
      <w:r w:rsidR="000B49AD">
        <w:rPr>
          <w:rStyle w:val="FootnoteReference"/>
        </w:rPr>
        <w:footnoteReference w:id="7"/>
      </w:r>
    </w:p>
    <w:p w14:paraId="2F74B3CA" w14:textId="39B55AB7" w:rsidR="006E34AD" w:rsidRDefault="006E34AD" w:rsidP="00D916E1">
      <w:r w:rsidRPr="00C9127D">
        <w:t xml:space="preserve">The measure will commence from 12.01am on 30 March 2022 and end at 11.59pm on 28 September 2022. Under the measure, existing policy settings for fuel excise and excise-equivalent customs duty, including indexation in August, will continue but </w:t>
      </w:r>
      <w:proofErr w:type="gramStart"/>
      <w:r w:rsidRPr="00C9127D">
        <w:t>on the basis of</w:t>
      </w:r>
      <w:proofErr w:type="gramEnd"/>
      <w:r w:rsidRPr="00C9127D">
        <w:t xml:space="preserve"> the halved rates. At the conclusion of the 6</w:t>
      </w:r>
      <w:r w:rsidR="00763347">
        <w:t>-</w:t>
      </w:r>
      <w:r w:rsidRPr="00C9127D">
        <w:t>month period</w:t>
      </w:r>
      <w:r w:rsidR="00763347">
        <w:t>,</w:t>
      </w:r>
      <w:r w:rsidRPr="00C9127D">
        <w:t xml:space="preserve"> the excise and excise-equivalent customs duty rates will then revert to previous rates, including indexation that would have occurred on those rates during the 6</w:t>
      </w:r>
      <w:r w:rsidR="00A23239">
        <w:t>-</w:t>
      </w:r>
      <w:r w:rsidRPr="00C9127D">
        <w:t>month period.</w:t>
      </w:r>
      <w:r w:rsidR="00A23239">
        <w:rPr>
          <w:rStyle w:val="FootnoteReference"/>
        </w:rPr>
        <w:footnoteReference w:id="8"/>
      </w:r>
    </w:p>
    <w:p w14:paraId="6199691F" w14:textId="31BA4549" w:rsidR="00983CBC" w:rsidRPr="00983CBC" w:rsidRDefault="00983CBC" w:rsidP="00D916E1">
      <w:pPr>
        <w:pStyle w:val="Heading2"/>
      </w:pPr>
      <w:bookmarkStart w:id="25" w:name="_Toc100574398"/>
      <w:r>
        <w:t>Support for businesses</w:t>
      </w:r>
      <w:bookmarkEnd w:id="25"/>
    </w:p>
    <w:p w14:paraId="2B221DAE" w14:textId="0FC521AB" w:rsidR="006E34AD" w:rsidRPr="00C9127D" w:rsidRDefault="0046359C" w:rsidP="00D916E1">
      <w:pPr>
        <w:pStyle w:val="Heading3"/>
        <w:rPr>
          <w:lang w:val="en-US"/>
        </w:rPr>
      </w:pPr>
      <w:bookmarkStart w:id="26" w:name="_Toc100574399"/>
      <w:r>
        <w:rPr>
          <w:lang w:val="en-US"/>
        </w:rPr>
        <w:t>Small business s</w:t>
      </w:r>
      <w:r w:rsidR="006E34AD" w:rsidRPr="00C9127D">
        <w:rPr>
          <w:lang w:val="en-US"/>
        </w:rPr>
        <w:t xml:space="preserve">kills and training </w:t>
      </w:r>
      <w:r w:rsidR="00E37C6E">
        <w:rPr>
          <w:lang w:val="en-US"/>
        </w:rPr>
        <w:t>boost</w:t>
      </w:r>
      <w:bookmarkEnd w:id="26"/>
    </w:p>
    <w:p w14:paraId="56D9791F" w14:textId="1AB7FA8A" w:rsidR="006E34AD" w:rsidRDefault="00721662" w:rsidP="00D916E1">
      <w:r w:rsidRPr="00C9127D">
        <w:t xml:space="preserve">Small businesses (with aggregated annual turnover of less than $50 million) will be able to deduct an additional 20 per cent of expenditure incurred on external training courses provided to their employees. </w:t>
      </w:r>
      <w:r w:rsidR="005E7876" w:rsidRPr="005E7876">
        <w:t>The boost will apply to eligible expenditure incurred from 7:30pm (AEDT) on 29 March 2022 until 30 June 2024</w:t>
      </w:r>
      <w:r>
        <w:t>.</w:t>
      </w:r>
      <w:r w:rsidR="007168B2" w:rsidRPr="007168B2">
        <w:t xml:space="preserve"> The external training courses will need to be provided to employees in Australia or online and delivered by </w:t>
      </w:r>
      <w:r w:rsidR="007168B2" w:rsidRPr="007168B2">
        <w:lastRenderedPageBreak/>
        <w:t>entities registered in Australia</w:t>
      </w:r>
      <w:r w:rsidR="007168B2">
        <w:t>.</w:t>
      </w:r>
      <w:r w:rsidR="007168B2" w:rsidRPr="007168B2">
        <w:t xml:space="preserve"> The boost for eligible expenditure incurred by 30 June 2022 will be claimed in tax returns for the following income year</w:t>
      </w:r>
      <w:r w:rsidR="007168B2">
        <w:t>.</w:t>
      </w:r>
      <w:r>
        <w:rPr>
          <w:rStyle w:val="FootnoteReference"/>
        </w:rPr>
        <w:footnoteReference w:id="9"/>
      </w:r>
      <w:r>
        <w:t xml:space="preserve"> </w:t>
      </w:r>
    </w:p>
    <w:p w14:paraId="622B4839" w14:textId="75AB8FB7" w:rsidR="00807E04" w:rsidRPr="00C9127D" w:rsidRDefault="00807E04" w:rsidP="00D916E1">
      <w:bookmarkStart w:id="28" w:name="_Hlk100647774"/>
      <w:r w:rsidRPr="0000401B">
        <w:t>Th</w:t>
      </w:r>
      <w:r>
        <w:t>is</w:t>
      </w:r>
      <w:r w:rsidRPr="0000401B">
        <w:t xml:space="preserve"> measure</w:t>
      </w:r>
      <w:r>
        <w:t xml:space="preserve"> is </w:t>
      </w:r>
      <w:r w:rsidRPr="0000401B">
        <w:t>not yet law</w:t>
      </w:r>
      <w:r w:rsidR="00C0405C">
        <w:t>.</w:t>
      </w:r>
      <w:r w:rsidR="002971EE">
        <w:rPr>
          <w:rStyle w:val="FootnoteReference"/>
        </w:rPr>
        <w:footnoteReference w:id="10"/>
      </w:r>
    </w:p>
    <w:p w14:paraId="10B3CB9A" w14:textId="51B54CBA" w:rsidR="006E34AD" w:rsidRPr="00C9127D" w:rsidRDefault="0046359C" w:rsidP="00D916E1">
      <w:pPr>
        <w:pStyle w:val="Heading3"/>
        <w:rPr>
          <w:lang w:val="en-US"/>
        </w:rPr>
      </w:pPr>
      <w:bookmarkStart w:id="29" w:name="_Toc100574400"/>
      <w:bookmarkStart w:id="30" w:name="_Hlk100313885"/>
      <w:bookmarkEnd w:id="28"/>
      <w:r>
        <w:rPr>
          <w:lang w:val="en-US"/>
        </w:rPr>
        <w:t>Small business t</w:t>
      </w:r>
      <w:r w:rsidR="006E34AD" w:rsidRPr="00C9127D">
        <w:rPr>
          <w:lang w:val="en-US"/>
        </w:rPr>
        <w:t>echnology investment subsidy</w:t>
      </w:r>
      <w:bookmarkEnd w:id="29"/>
    </w:p>
    <w:bookmarkEnd w:id="30"/>
    <w:p w14:paraId="1645282F" w14:textId="4388C71C" w:rsidR="006E34AD" w:rsidRDefault="006E34AD" w:rsidP="00D916E1">
      <w:r w:rsidRPr="00C9127D">
        <w:t>Small businesses (with aggregated annual turnover of less than $50 million) will be able to deduct an additional 20 per cent of the cost incurred on business expenses and depreciating assets that support their digital adoption, such as portable payment devices, cyber security systems or subscriptions to cloud-based services. An annual cap will apply in each qualifying income year so that expenditure up to $100</w:t>
      </w:r>
      <w:r w:rsidR="00C517E2">
        <w:t xml:space="preserve"> </w:t>
      </w:r>
      <w:r w:rsidRPr="00C9127D">
        <w:t>000 will be eligible for the subsidy. The boost for eligible expenditure incurred by 30 June 2022 will be claimed in tax returns for the following income year. The subsidy for eligible expenditure incurred between 1 July 2022 and 30 June 2023 will be included in the income year in which the expenditure is incurred.</w:t>
      </w:r>
      <w:r w:rsidR="00DD412C">
        <w:rPr>
          <w:rStyle w:val="FootnoteReference"/>
        </w:rPr>
        <w:footnoteReference w:id="11"/>
      </w:r>
    </w:p>
    <w:p w14:paraId="0B828D43" w14:textId="4CD76280" w:rsidR="00807E04" w:rsidRPr="00435C8B" w:rsidRDefault="00807E04" w:rsidP="00D916E1">
      <w:r w:rsidRPr="00C704E4">
        <w:t>Th</w:t>
      </w:r>
      <w:r>
        <w:t>is</w:t>
      </w:r>
      <w:r w:rsidRPr="00C704E4">
        <w:t xml:space="preserve"> measure</w:t>
      </w:r>
      <w:r>
        <w:t xml:space="preserve"> is </w:t>
      </w:r>
      <w:r w:rsidRPr="00C704E4">
        <w:t>not yet law</w:t>
      </w:r>
      <w:r w:rsidR="00C0405C">
        <w:t>.</w:t>
      </w:r>
      <w:r w:rsidR="002971EE">
        <w:rPr>
          <w:rStyle w:val="FootnoteReference"/>
        </w:rPr>
        <w:footnoteReference w:id="12"/>
      </w:r>
    </w:p>
    <w:p w14:paraId="099B8CAA" w14:textId="26057970" w:rsidR="00FE641D" w:rsidRPr="00A51F3F" w:rsidRDefault="00FE641D" w:rsidP="00FE641D">
      <w:pPr>
        <w:pStyle w:val="MWRHeading3"/>
        <w:rPr>
          <w:rFonts w:ascii="Calibri" w:eastAsiaTheme="majorEastAsia" w:hAnsi="Calibri" w:cstheme="majorBidi"/>
          <w:color w:val="0C233F"/>
          <w:sz w:val="28"/>
          <w:lang w:val="en-US" w:eastAsia="en-US"/>
        </w:rPr>
      </w:pPr>
      <w:bookmarkStart w:id="31" w:name="_Toc100574401"/>
      <w:r w:rsidRPr="00A51F3F">
        <w:rPr>
          <w:rFonts w:ascii="Calibri" w:eastAsiaTheme="majorEastAsia" w:hAnsi="Calibri" w:cstheme="majorBidi"/>
          <w:color w:val="0C233F"/>
          <w:sz w:val="28"/>
          <w:lang w:val="en-US" w:eastAsia="en-US"/>
        </w:rPr>
        <w:t>Ex</w:t>
      </w:r>
      <w:r w:rsidR="00DA229B" w:rsidRPr="00A51F3F">
        <w:rPr>
          <w:rFonts w:ascii="Calibri" w:eastAsiaTheme="majorEastAsia" w:hAnsi="Calibri" w:cstheme="majorBidi"/>
          <w:color w:val="0C233F"/>
          <w:sz w:val="28"/>
          <w:lang w:val="en-US" w:eastAsia="en-US"/>
        </w:rPr>
        <w:t>tending</w:t>
      </w:r>
      <w:r w:rsidRPr="00A51F3F">
        <w:rPr>
          <w:rFonts w:ascii="Calibri" w:eastAsiaTheme="majorEastAsia" w:hAnsi="Calibri" w:cstheme="majorBidi"/>
          <w:color w:val="0C233F"/>
          <w:sz w:val="28"/>
          <w:lang w:val="en-US" w:eastAsia="en-US"/>
        </w:rPr>
        <w:t xml:space="preserve"> the Boosting Apprenticeship Commencements </w:t>
      </w:r>
      <w:r w:rsidR="006D6E39">
        <w:rPr>
          <w:rFonts w:ascii="Calibri" w:eastAsiaTheme="majorEastAsia" w:hAnsi="Calibri" w:cstheme="majorBidi"/>
          <w:color w:val="0C233F"/>
          <w:sz w:val="28"/>
          <w:lang w:val="en-US" w:eastAsia="en-US"/>
        </w:rPr>
        <w:t xml:space="preserve">and </w:t>
      </w:r>
      <w:r w:rsidR="006D6E39" w:rsidRPr="006D6E39">
        <w:rPr>
          <w:rFonts w:ascii="Calibri" w:eastAsiaTheme="majorEastAsia" w:hAnsi="Calibri" w:cstheme="majorBidi"/>
          <w:color w:val="0C233F"/>
          <w:sz w:val="28"/>
          <w:lang w:val="en-US" w:eastAsia="en-US"/>
        </w:rPr>
        <w:t xml:space="preserve">Completing Apprenticeship Commencements </w:t>
      </w:r>
      <w:r w:rsidRPr="00A51F3F">
        <w:rPr>
          <w:rFonts w:ascii="Calibri" w:eastAsiaTheme="majorEastAsia" w:hAnsi="Calibri" w:cstheme="majorBidi"/>
          <w:color w:val="0C233F"/>
          <w:sz w:val="28"/>
          <w:lang w:val="en-US" w:eastAsia="en-US"/>
        </w:rPr>
        <w:t xml:space="preserve">wage </w:t>
      </w:r>
      <w:bookmarkEnd w:id="31"/>
      <w:r w:rsidRPr="00A51F3F">
        <w:rPr>
          <w:rFonts w:ascii="Calibri" w:eastAsiaTheme="majorEastAsia" w:hAnsi="Calibri" w:cstheme="majorBidi"/>
          <w:color w:val="0C233F"/>
          <w:sz w:val="28"/>
          <w:lang w:val="en-US" w:eastAsia="en-US"/>
        </w:rPr>
        <w:t>subsid</w:t>
      </w:r>
      <w:r w:rsidR="006D6E39">
        <w:rPr>
          <w:rFonts w:ascii="Calibri" w:eastAsiaTheme="majorEastAsia" w:hAnsi="Calibri" w:cstheme="majorBidi"/>
          <w:color w:val="0C233F"/>
          <w:sz w:val="28"/>
          <w:lang w:val="en-US" w:eastAsia="en-US"/>
        </w:rPr>
        <w:t>ies</w:t>
      </w:r>
    </w:p>
    <w:p w14:paraId="1D9B4E20" w14:textId="1D8C4E16" w:rsidR="006E34AD" w:rsidRPr="00D916E1" w:rsidRDefault="00C17D60" w:rsidP="00C17D60">
      <w:r>
        <w:rPr>
          <w:lang w:val="en-US"/>
        </w:rPr>
        <w:t>Th</w:t>
      </w:r>
      <w:r w:rsidR="006D6E39">
        <w:rPr>
          <w:lang w:val="en-US"/>
        </w:rPr>
        <w:t>e</w:t>
      </w:r>
      <w:r>
        <w:rPr>
          <w:lang w:val="en-US"/>
        </w:rPr>
        <w:t>s</w:t>
      </w:r>
      <w:r w:rsidR="006D6E39">
        <w:rPr>
          <w:lang w:val="en-US"/>
        </w:rPr>
        <w:t>e</w:t>
      </w:r>
      <w:r>
        <w:rPr>
          <w:lang w:val="en-US"/>
        </w:rPr>
        <w:t xml:space="preserve"> subsid</w:t>
      </w:r>
      <w:r w:rsidR="006D6E39">
        <w:rPr>
          <w:lang w:val="en-US"/>
        </w:rPr>
        <w:t>ies are</w:t>
      </w:r>
      <w:r>
        <w:rPr>
          <w:lang w:val="en-US"/>
        </w:rPr>
        <w:t xml:space="preserve"> extended by 3 months to 30 June 2022.</w:t>
      </w:r>
      <w:r w:rsidR="005C2908">
        <w:rPr>
          <w:lang w:val="en-US"/>
        </w:rPr>
        <w:t xml:space="preserve"> From 1 July 2022, the </w:t>
      </w:r>
      <w:r w:rsidR="00EE7E29" w:rsidRPr="00EE7E29">
        <w:rPr>
          <w:lang w:val="en-US"/>
        </w:rPr>
        <w:t>Australian Apprenticeships Incentive System</w:t>
      </w:r>
      <w:r w:rsidR="00EE7E29" w:rsidRPr="00EE7E29">
        <w:rPr>
          <w:rStyle w:val="FootnoteReference"/>
          <w:rFonts w:ascii="Calibri" w:hAnsi="Calibri"/>
          <w:vertAlign w:val="baseline"/>
          <w:lang w:val="en-US"/>
        </w:rPr>
        <w:t xml:space="preserve"> </w:t>
      </w:r>
      <w:r w:rsidR="00EE7E29">
        <w:rPr>
          <w:lang w:val="en-US"/>
        </w:rPr>
        <w:t>will provide support to employers and apprentices in priority occupations.</w:t>
      </w:r>
      <w:r>
        <w:rPr>
          <w:rStyle w:val="FootnoteReference"/>
          <w:lang w:val="en-US"/>
        </w:rPr>
        <w:footnoteReference w:id="13"/>
      </w:r>
      <w:r w:rsidR="00C11F05" w:rsidRPr="00C11F05">
        <w:t xml:space="preserve"> </w:t>
      </w:r>
      <w:r w:rsidR="00C11F05" w:rsidRPr="00C11F05">
        <w:rPr>
          <w:lang w:val="en-US"/>
        </w:rPr>
        <w:t xml:space="preserve">Businesses of any size can claim the wage subsidy for new apprentices or trainees who commence during this period. Eligible </w:t>
      </w:r>
      <w:r w:rsidR="00C11F05" w:rsidRPr="00C11F05">
        <w:rPr>
          <w:lang w:val="en-US"/>
        </w:rPr>
        <w:lastRenderedPageBreak/>
        <w:t>businesses will be reimbursed up to 50</w:t>
      </w:r>
      <w:r w:rsidR="00416790">
        <w:rPr>
          <w:lang w:val="en-US"/>
        </w:rPr>
        <w:t> </w:t>
      </w:r>
      <w:r w:rsidR="00C11F05" w:rsidRPr="00C11F05">
        <w:rPr>
          <w:lang w:val="en-US"/>
        </w:rPr>
        <w:t>per cent of an apprentice or trainee's wages of up to $7000 per quarter for 12 months.</w:t>
      </w:r>
      <w:r w:rsidR="00F8096B">
        <w:rPr>
          <w:rStyle w:val="FootnoteReference"/>
        </w:rPr>
        <w:footnoteReference w:id="14"/>
      </w:r>
    </w:p>
    <w:p w14:paraId="6A10F0D2" w14:textId="77777777" w:rsidR="006E34AD" w:rsidRPr="00C9127D" w:rsidRDefault="006E34AD" w:rsidP="006E34AD">
      <w:pPr>
        <w:ind w:left="720"/>
        <w:rPr>
          <w:b/>
          <w:bCs/>
        </w:rPr>
      </w:pPr>
    </w:p>
    <w:p w14:paraId="26F3A845" w14:textId="77777777" w:rsidR="006E34AD" w:rsidRPr="003B4BC1" w:rsidRDefault="006E34AD" w:rsidP="006E34AD">
      <w:pPr>
        <w:ind w:left="720"/>
        <w:rPr>
          <w:lang w:val="en-US"/>
        </w:rPr>
      </w:pPr>
    </w:p>
    <w:sectPr w:rsidR="006E34AD" w:rsidRPr="003B4BC1" w:rsidSect="00177871">
      <w:headerReference w:type="default" r:id="rId11"/>
      <w:footerReference w:type="default" r:id="rId12"/>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4020" w14:textId="77777777" w:rsidR="00F06438" w:rsidRDefault="00F06438" w:rsidP="008E21DE">
      <w:pPr>
        <w:spacing w:before="0" w:after="0"/>
      </w:pPr>
      <w:r>
        <w:separator/>
      </w:r>
    </w:p>
    <w:p w14:paraId="7EEE083A" w14:textId="77777777" w:rsidR="00F06438" w:rsidRDefault="00F06438"/>
    <w:p w14:paraId="0CBE9BF9" w14:textId="77777777" w:rsidR="00F06438" w:rsidRDefault="00F06438"/>
  </w:endnote>
  <w:endnote w:type="continuationSeparator" w:id="0">
    <w:p w14:paraId="49C756C5" w14:textId="77777777" w:rsidR="00F06438" w:rsidRDefault="00F06438" w:rsidP="008E21DE">
      <w:pPr>
        <w:spacing w:before="0" w:after="0"/>
      </w:pPr>
      <w:r>
        <w:continuationSeparator/>
      </w:r>
    </w:p>
    <w:p w14:paraId="7F589B27" w14:textId="77777777" w:rsidR="00F06438" w:rsidRDefault="00F06438"/>
    <w:p w14:paraId="05453456" w14:textId="77777777" w:rsidR="00F06438" w:rsidRDefault="00F06438"/>
  </w:endnote>
  <w:endnote w:type="continuationNotice" w:id="1">
    <w:p w14:paraId="47A8288C" w14:textId="77777777" w:rsidR="00F06438" w:rsidRDefault="00F064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18105"/>
      <w:docPartObj>
        <w:docPartGallery w:val="Page Numbers (Bottom of Page)"/>
        <w:docPartUnique/>
      </w:docPartObj>
    </w:sdtPr>
    <w:sdtEndPr>
      <w:rPr>
        <w:noProof/>
      </w:rPr>
    </w:sdtEndPr>
    <w:sdtContent>
      <w:p w14:paraId="4AAF5EDD" w14:textId="09E8379B" w:rsidR="00361582" w:rsidRDefault="003615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EB741" w14:textId="77777777" w:rsidR="00361582" w:rsidRPr="00361582" w:rsidRDefault="00361582" w:rsidP="0036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9DB2" w14:textId="77777777" w:rsidR="00F06438" w:rsidRDefault="00F06438" w:rsidP="008E21DE">
      <w:pPr>
        <w:spacing w:before="0" w:after="0"/>
      </w:pPr>
      <w:r>
        <w:separator/>
      </w:r>
    </w:p>
  </w:footnote>
  <w:footnote w:type="continuationSeparator" w:id="0">
    <w:p w14:paraId="2C9CC573" w14:textId="77777777" w:rsidR="00F06438" w:rsidRDefault="00F06438" w:rsidP="008E21DE">
      <w:pPr>
        <w:spacing w:before="0" w:after="0"/>
      </w:pPr>
      <w:r>
        <w:continuationSeparator/>
      </w:r>
    </w:p>
    <w:p w14:paraId="154FA858" w14:textId="77777777" w:rsidR="00F06438" w:rsidRDefault="00F06438"/>
    <w:p w14:paraId="2BF9EA19" w14:textId="77777777" w:rsidR="00F06438" w:rsidRDefault="00F06438"/>
  </w:footnote>
  <w:footnote w:type="continuationNotice" w:id="1">
    <w:p w14:paraId="02FC215B" w14:textId="77777777" w:rsidR="00F06438" w:rsidRDefault="00F06438">
      <w:pPr>
        <w:spacing w:before="0" w:after="0" w:line="240" w:lineRule="auto"/>
      </w:pPr>
    </w:p>
  </w:footnote>
  <w:footnote w:id="2">
    <w:p w14:paraId="0A9A54A0" w14:textId="1CA9DC71" w:rsidR="00F1023D" w:rsidRDefault="00F1023D" w:rsidP="00942817">
      <w:pPr>
        <w:pStyle w:val="FootnoteText"/>
      </w:pPr>
      <w:r>
        <w:rPr>
          <w:rStyle w:val="FootnoteReference"/>
        </w:rPr>
        <w:footnoteRef/>
      </w:r>
      <w:r>
        <w:t xml:space="preserve"> Australian Government (2022), </w:t>
      </w:r>
      <w:r w:rsidR="00942817" w:rsidRPr="00D916E1">
        <w:rPr>
          <w:i/>
          <w:iCs/>
        </w:rPr>
        <w:t xml:space="preserve">Budget </w:t>
      </w:r>
      <w:r w:rsidR="003D47EF">
        <w:rPr>
          <w:i/>
          <w:iCs/>
        </w:rPr>
        <w:t>2022–23</w:t>
      </w:r>
      <w:r w:rsidR="00942817" w:rsidRPr="00D916E1">
        <w:rPr>
          <w:i/>
          <w:iCs/>
        </w:rPr>
        <w:t>, Budget Paper No. 1</w:t>
      </w:r>
      <w:r w:rsidR="00942817">
        <w:t xml:space="preserve">, </w:t>
      </w:r>
      <w:r w:rsidR="00B42D84">
        <w:t>29 March</w:t>
      </w:r>
      <w:r w:rsidR="00EF399A">
        <w:t>, p. 15.</w:t>
      </w:r>
    </w:p>
  </w:footnote>
  <w:footnote w:id="3">
    <w:p w14:paraId="63E3D962" w14:textId="53D0A840" w:rsidR="008D10C7" w:rsidRDefault="008D10C7">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xml:space="preserve">, Budget Paper No. </w:t>
      </w:r>
      <w:r>
        <w:rPr>
          <w:i/>
          <w:iCs/>
        </w:rPr>
        <w:t>2</w:t>
      </w:r>
      <w:r>
        <w:t xml:space="preserve">, </w:t>
      </w:r>
      <w:r w:rsidR="00B42D84">
        <w:t>29 March</w:t>
      </w:r>
      <w:r>
        <w:t>, p. 16</w:t>
      </w:r>
      <w:r w:rsidR="005E64FA">
        <w:t>;</w:t>
      </w:r>
      <w:r w:rsidR="005E64FA" w:rsidRPr="005E64FA">
        <w:t xml:space="preserve"> </w:t>
      </w:r>
      <w:hyperlink r:id="rId1" w:history="1">
        <w:r w:rsidR="005E64FA" w:rsidRPr="00EC5703">
          <w:rPr>
            <w:rStyle w:val="Hyperlink"/>
            <w:rFonts w:ascii="Calibri" w:hAnsi="Calibri"/>
            <w:i/>
            <w:iCs/>
          </w:rPr>
          <w:t>Treasury Laws Amendment (Cost of Living Support and Other Measures) Act 2022</w:t>
        </w:r>
      </w:hyperlink>
      <w:r w:rsidR="005E64FA">
        <w:t>.</w:t>
      </w:r>
    </w:p>
  </w:footnote>
  <w:footnote w:id="4">
    <w:p w14:paraId="3991A300" w14:textId="17C935B5" w:rsidR="00BB093D" w:rsidRDefault="00BB093D">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Budget Paper No. 1</w:t>
      </w:r>
      <w:r>
        <w:t xml:space="preserve">, </w:t>
      </w:r>
      <w:r w:rsidR="00B42D84">
        <w:t>29 March</w:t>
      </w:r>
      <w:r>
        <w:t>, p. 15.</w:t>
      </w:r>
    </w:p>
  </w:footnote>
  <w:footnote w:id="5">
    <w:p w14:paraId="518252B4" w14:textId="3D38E916" w:rsidR="00CB63D3" w:rsidRDefault="00CB63D3">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xml:space="preserve">, Budget Paper No. </w:t>
      </w:r>
      <w:r>
        <w:rPr>
          <w:i/>
          <w:iCs/>
        </w:rPr>
        <w:t>2</w:t>
      </w:r>
      <w:r>
        <w:t xml:space="preserve">, </w:t>
      </w:r>
      <w:r w:rsidR="00B42D84">
        <w:t>29 March</w:t>
      </w:r>
      <w:r>
        <w:t>, p. 167</w:t>
      </w:r>
      <w:r w:rsidR="009E0C75">
        <w:t>;</w:t>
      </w:r>
      <w:r w:rsidR="009E0C75" w:rsidRPr="005E64FA">
        <w:t xml:space="preserve"> </w:t>
      </w:r>
      <w:hyperlink r:id="rId2" w:history="1">
        <w:r w:rsidR="009E0C75" w:rsidRPr="00EC5703">
          <w:rPr>
            <w:rStyle w:val="Hyperlink"/>
            <w:rFonts w:ascii="Calibri" w:hAnsi="Calibri"/>
            <w:i/>
            <w:iCs/>
          </w:rPr>
          <w:t>Treasury Laws Amendment (Cost of Living Support and Other Measures) Act 2022</w:t>
        </w:r>
      </w:hyperlink>
      <w:r>
        <w:t>.</w:t>
      </w:r>
    </w:p>
  </w:footnote>
  <w:footnote w:id="6">
    <w:p w14:paraId="6C11AD38" w14:textId="43AB2976" w:rsidR="00AA72DA" w:rsidRDefault="00AA72DA">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xml:space="preserve">, Budget Paper No. </w:t>
      </w:r>
      <w:r>
        <w:rPr>
          <w:i/>
          <w:iCs/>
        </w:rPr>
        <w:t>2</w:t>
      </w:r>
      <w:r>
        <w:t xml:space="preserve">, </w:t>
      </w:r>
      <w:r w:rsidR="00B42D84">
        <w:t>29 March</w:t>
      </w:r>
      <w:r>
        <w:t>, pp. 24–25</w:t>
      </w:r>
      <w:r w:rsidR="00E56AD8">
        <w:t>;</w:t>
      </w:r>
      <w:r w:rsidR="00E56AD8" w:rsidRPr="005E64FA">
        <w:t xml:space="preserve"> </w:t>
      </w:r>
      <w:hyperlink r:id="rId3" w:history="1">
        <w:r w:rsidR="00E56AD8" w:rsidRPr="0038124F">
          <w:rPr>
            <w:rStyle w:val="Hyperlink"/>
            <w:rFonts w:ascii="Calibri" w:hAnsi="Calibri"/>
            <w:i/>
            <w:iCs/>
            <w:color w:val="58A884" w:themeColor="accent3"/>
          </w:rPr>
          <w:t>Treasury Laws Amendment (Cost of Living Support and Other Measures) Act 2022</w:t>
        </w:r>
      </w:hyperlink>
      <w:r>
        <w:t>.</w:t>
      </w:r>
    </w:p>
  </w:footnote>
  <w:footnote w:id="7">
    <w:p w14:paraId="6DBE5B1E" w14:textId="66EB6993" w:rsidR="000B49AD" w:rsidRDefault="000B49AD">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Budget Paper No. 1</w:t>
      </w:r>
      <w:r>
        <w:t xml:space="preserve">, </w:t>
      </w:r>
      <w:r w:rsidR="00B42D84">
        <w:t>29 March</w:t>
      </w:r>
      <w:r>
        <w:t>, p. 15</w:t>
      </w:r>
      <w:r w:rsidR="00AF5BCC">
        <w:t xml:space="preserve">; </w:t>
      </w:r>
      <w:hyperlink r:id="rId4" w:history="1">
        <w:r w:rsidR="00AF5BCC" w:rsidRPr="0038124F">
          <w:rPr>
            <w:rStyle w:val="Hyperlink"/>
            <w:rFonts w:ascii="Calibri" w:hAnsi="Calibri"/>
            <w:i/>
            <w:iCs/>
            <w:color w:val="58A884" w:themeColor="accent3"/>
          </w:rPr>
          <w:t>Excise Tariff Amendment (Cost of Living Support) Act 2022</w:t>
        </w:r>
      </w:hyperlink>
      <w:r>
        <w:t>.</w:t>
      </w:r>
    </w:p>
  </w:footnote>
  <w:footnote w:id="8">
    <w:p w14:paraId="256C5E80" w14:textId="615D9031" w:rsidR="00A23239" w:rsidRDefault="00A23239">
      <w:pPr>
        <w:pStyle w:val="FootnoteText"/>
      </w:pPr>
      <w:r>
        <w:rPr>
          <w:rStyle w:val="FootnoteReference"/>
        </w:rPr>
        <w:footnoteRef/>
      </w:r>
      <w:r>
        <w:t xml:space="preserve"> </w:t>
      </w:r>
      <w:r w:rsidR="00443B38">
        <w:t xml:space="preserve">Australian Government (2022), </w:t>
      </w:r>
      <w:r w:rsidR="00443B38" w:rsidRPr="00BF55E5">
        <w:rPr>
          <w:i/>
          <w:iCs/>
        </w:rPr>
        <w:t xml:space="preserve">Budget </w:t>
      </w:r>
      <w:r w:rsidR="00443B38">
        <w:rPr>
          <w:i/>
          <w:iCs/>
        </w:rPr>
        <w:t>2022–23</w:t>
      </w:r>
      <w:r w:rsidR="00443B38" w:rsidRPr="00BF55E5">
        <w:rPr>
          <w:i/>
          <w:iCs/>
        </w:rPr>
        <w:t xml:space="preserve">, Budget Paper No. </w:t>
      </w:r>
      <w:r w:rsidR="00443B38">
        <w:rPr>
          <w:i/>
          <w:iCs/>
        </w:rPr>
        <w:t>2</w:t>
      </w:r>
      <w:r w:rsidR="00443B38">
        <w:t xml:space="preserve">, </w:t>
      </w:r>
      <w:r w:rsidR="00B42D84">
        <w:t>29 March</w:t>
      </w:r>
      <w:r w:rsidR="00443B38">
        <w:t>, p. 15.</w:t>
      </w:r>
    </w:p>
  </w:footnote>
  <w:footnote w:id="9">
    <w:p w14:paraId="374550D6" w14:textId="6562421F" w:rsidR="00721662" w:rsidRDefault="00721662">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xml:space="preserve">, Budget Paper No. </w:t>
      </w:r>
      <w:r>
        <w:rPr>
          <w:i/>
          <w:iCs/>
        </w:rPr>
        <w:t>2</w:t>
      </w:r>
      <w:r>
        <w:t xml:space="preserve">, </w:t>
      </w:r>
      <w:r w:rsidR="00B42D84">
        <w:t xml:space="preserve">29 </w:t>
      </w:r>
      <w:r>
        <w:t>March, p</w:t>
      </w:r>
      <w:r w:rsidR="007168B2">
        <w:t>p</w:t>
      </w:r>
      <w:r>
        <w:t>. 26</w:t>
      </w:r>
      <w:r w:rsidR="007168B2">
        <w:t>–27</w:t>
      </w:r>
      <w:r w:rsidR="006601F5">
        <w:t xml:space="preserve">; </w:t>
      </w:r>
      <w:bookmarkStart w:id="27" w:name="_Hlk100647806"/>
      <w:r w:rsidR="00F331C8">
        <w:t xml:space="preserve">Australian Taxation Office (2022), </w:t>
      </w:r>
      <w:hyperlink r:id="rId5" w:history="1">
        <w:r w:rsidR="00F331C8" w:rsidRPr="00361582">
          <w:rPr>
            <w:rStyle w:val="Hyperlink"/>
            <w:rFonts w:ascii="Calibri" w:hAnsi="Calibri"/>
            <w:i/>
            <w:iCs/>
            <w:color w:val="58A884" w:themeColor="accent3"/>
          </w:rPr>
          <w:t>Small Business Technology Investment Boost and Small Business Skills and Training Boost</w:t>
        </w:r>
      </w:hyperlink>
      <w:r w:rsidR="00F331C8">
        <w:t>, 11 April</w:t>
      </w:r>
      <w:r>
        <w:t>.</w:t>
      </w:r>
    </w:p>
    <w:bookmarkEnd w:id="27"/>
  </w:footnote>
  <w:footnote w:id="10">
    <w:p w14:paraId="3EEF1F6A" w14:textId="2FC0A162" w:rsidR="002971EE" w:rsidRDefault="002971EE">
      <w:pPr>
        <w:pStyle w:val="FootnoteText"/>
      </w:pPr>
      <w:r>
        <w:rPr>
          <w:rStyle w:val="FootnoteReference"/>
        </w:rPr>
        <w:footnoteRef/>
      </w:r>
      <w:r>
        <w:t xml:space="preserve"> Australian Taxation Office (2022), </w:t>
      </w:r>
      <w:hyperlink r:id="rId6" w:history="1">
        <w:r w:rsidRPr="00361582">
          <w:rPr>
            <w:rStyle w:val="Hyperlink"/>
            <w:rFonts w:ascii="Calibri" w:hAnsi="Calibri"/>
            <w:i/>
            <w:iCs/>
            <w:color w:val="58A884" w:themeColor="accent3"/>
          </w:rPr>
          <w:t>Small Business Technology Investment Boost and Small Business Skills and Training Boost</w:t>
        </w:r>
      </w:hyperlink>
      <w:r>
        <w:t>, 11 April.</w:t>
      </w:r>
    </w:p>
  </w:footnote>
  <w:footnote w:id="11">
    <w:p w14:paraId="5A7F169B" w14:textId="2C3E58A5" w:rsidR="00DD412C" w:rsidRDefault="00DD412C">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xml:space="preserve">, Budget Paper No. </w:t>
      </w:r>
      <w:r>
        <w:rPr>
          <w:i/>
          <w:iCs/>
        </w:rPr>
        <w:t>2</w:t>
      </w:r>
      <w:r>
        <w:t xml:space="preserve">, </w:t>
      </w:r>
      <w:r w:rsidR="00B42D84">
        <w:t xml:space="preserve">29 </w:t>
      </w:r>
      <w:r>
        <w:t>March, p. 27</w:t>
      </w:r>
      <w:r w:rsidR="00F331C8">
        <w:t xml:space="preserve">; Australian Taxation Office (2022), </w:t>
      </w:r>
      <w:hyperlink r:id="rId7" w:history="1">
        <w:r w:rsidR="00F331C8" w:rsidRPr="00361582">
          <w:rPr>
            <w:rStyle w:val="Hyperlink"/>
            <w:rFonts w:ascii="Calibri" w:hAnsi="Calibri"/>
            <w:i/>
            <w:iCs/>
            <w:color w:val="58A884" w:themeColor="accent3"/>
          </w:rPr>
          <w:t>Small Business Technology Investment Boost and Small Business Skills and Training Boost</w:t>
        </w:r>
      </w:hyperlink>
      <w:r w:rsidR="00F331C8">
        <w:t>, 11 April</w:t>
      </w:r>
      <w:r>
        <w:t>.</w:t>
      </w:r>
    </w:p>
  </w:footnote>
  <w:footnote w:id="12">
    <w:p w14:paraId="7048A6D1" w14:textId="125E9BFA" w:rsidR="002971EE" w:rsidRDefault="002971EE">
      <w:pPr>
        <w:pStyle w:val="FootnoteText"/>
      </w:pPr>
      <w:r>
        <w:rPr>
          <w:rStyle w:val="FootnoteReference"/>
        </w:rPr>
        <w:footnoteRef/>
      </w:r>
      <w:r>
        <w:t xml:space="preserve"> Australian Taxation Office (2022), </w:t>
      </w:r>
      <w:hyperlink r:id="rId8" w:history="1">
        <w:r w:rsidRPr="00361582">
          <w:rPr>
            <w:rStyle w:val="Hyperlink"/>
            <w:rFonts w:ascii="Calibri" w:hAnsi="Calibri"/>
            <w:i/>
            <w:iCs/>
            <w:color w:val="58A884" w:themeColor="accent3"/>
          </w:rPr>
          <w:t>Small Business Technology Investment Boost and Small Business Skills and Training Boost</w:t>
        </w:r>
      </w:hyperlink>
      <w:r>
        <w:t>, 11 April.</w:t>
      </w:r>
    </w:p>
  </w:footnote>
  <w:footnote w:id="13">
    <w:p w14:paraId="58F6907F" w14:textId="702D57C2" w:rsidR="00C17D60" w:rsidRDefault="00C17D60">
      <w:pPr>
        <w:pStyle w:val="FootnoteText"/>
      </w:pPr>
      <w:r>
        <w:rPr>
          <w:rStyle w:val="FootnoteReference"/>
        </w:rPr>
        <w:footnoteRef/>
      </w:r>
      <w:r>
        <w:t xml:space="preserve"> Australian Government (2022), </w:t>
      </w:r>
      <w:r w:rsidRPr="00BF55E5">
        <w:rPr>
          <w:i/>
          <w:iCs/>
        </w:rPr>
        <w:t xml:space="preserve">Budget </w:t>
      </w:r>
      <w:r>
        <w:rPr>
          <w:i/>
          <w:iCs/>
        </w:rPr>
        <w:t>2022–23</w:t>
      </w:r>
      <w:r w:rsidRPr="00BF55E5">
        <w:rPr>
          <w:i/>
          <w:iCs/>
        </w:rPr>
        <w:t xml:space="preserve">, Budget Paper No. </w:t>
      </w:r>
      <w:r>
        <w:rPr>
          <w:i/>
          <w:iCs/>
        </w:rPr>
        <w:t>2</w:t>
      </w:r>
      <w:r>
        <w:t>, 29 March, p. 77</w:t>
      </w:r>
      <w:r w:rsidR="00D664AE">
        <w:t xml:space="preserve">; Department of Education, Skills and Employment (2022), </w:t>
      </w:r>
      <w:hyperlink r:id="rId9" w:history="1">
        <w:r w:rsidR="003A5A51" w:rsidRPr="00361582">
          <w:rPr>
            <w:rStyle w:val="Hyperlink"/>
            <w:rFonts w:ascii="Calibri" w:hAnsi="Calibri"/>
            <w:i/>
            <w:iCs/>
            <w:color w:val="58A884" w:themeColor="accent3"/>
          </w:rPr>
          <w:t>Boosting Apprenticeships Commencements Fact Sheet</w:t>
        </w:r>
      </w:hyperlink>
      <w:r w:rsidR="003A5A51">
        <w:t>, Australian Government, 28 March</w:t>
      </w:r>
      <w:r>
        <w:t>.</w:t>
      </w:r>
    </w:p>
  </w:footnote>
  <w:footnote w:id="14">
    <w:p w14:paraId="3108EE4E" w14:textId="6CDF1533" w:rsidR="00F8096B" w:rsidRPr="00F8096B" w:rsidRDefault="00F8096B" w:rsidP="00F8096B">
      <w:pPr>
        <w:pStyle w:val="FootnoteText"/>
        <w:rPr>
          <w:rFonts w:cs="Calibri"/>
        </w:rPr>
      </w:pPr>
      <w:r>
        <w:rPr>
          <w:rStyle w:val="FootnoteReference"/>
        </w:rPr>
        <w:footnoteRef/>
      </w:r>
      <w:r>
        <w:t xml:space="preserve"> </w:t>
      </w:r>
      <w:r w:rsidRPr="00F8096B">
        <w:rPr>
          <w:rFonts w:cs="Calibri"/>
        </w:rPr>
        <w:t xml:space="preserve">Australian Government (2021), </w:t>
      </w:r>
      <w:r w:rsidR="002000F2" w:rsidRPr="00A51F3F">
        <w:rPr>
          <w:rFonts w:cs="Calibri"/>
          <w:i/>
          <w:iCs/>
        </w:rPr>
        <w:t xml:space="preserve">Budget </w:t>
      </w:r>
      <w:r w:rsidR="002000F2" w:rsidRPr="00A51F3F">
        <w:rPr>
          <w:i/>
          <w:iCs/>
        </w:rPr>
        <w:t>2021-22</w:t>
      </w:r>
      <w:r w:rsidR="002000F2" w:rsidRPr="00A51F3F">
        <w:rPr>
          <w:rFonts w:cs="Calibri"/>
          <w:i/>
          <w:iCs/>
        </w:rPr>
        <w:t>, Budget Paper No. 2</w:t>
      </w:r>
      <w:r w:rsidRPr="00F8096B">
        <w:rPr>
          <w:rFonts w:cs="Calibri"/>
        </w:rPr>
        <w:t>, 11 May, p.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07B7D857" w:rsidR="00381CE5" w:rsidRPr="00BA7506" w:rsidRDefault="00381CE5" w:rsidP="00771B1B">
    <w:pPr>
      <w:pStyle w:val="Header"/>
      <w:jc w:val="left"/>
      <w:rPr>
        <w:color w:val="002A4C" w:themeColor="accent2"/>
      </w:rPr>
    </w:pPr>
    <w:r>
      <w:rPr>
        <w:caps/>
        <w:noProof/>
        <w:color w:val="FFFFFF" w:themeColor="background1"/>
        <w:sz w:val="25"/>
      </w:rPr>
      <w:drawing>
        <wp:anchor distT="0" distB="0" distL="114300" distR="114300" simplePos="0" relativeHeight="251658241" behindDoc="1" locked="0" layoutInCell="1" allowOverlap="1" wp14:anchorId="7E87765F" wp14:editId="2AE69AC2">
          <wp:simplePos x="0" y="0"/>
          <wp:positionH relativeFrom="column">
            <wp:posOffset>0</wp:posOffset>
          </wp:positionH>
          <wp:positionV relativeFrom="paragraph">
            <wp:posOffset>413191</wp:posOffset>
          </wp:positionV>
          <wp:extent cx="812800" cy="80010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58240" behindDoc="1" locked="0" layoutInCell="1" allowOverlap="1" wp14:anchorId="64910317" wp14:editId="28165055">
          <wp:simplePos x="0" y="0"/>
          <wp:positionH relativeFrom="column">
            <wp:posOffset>539588</wp:posOffset>
          </wp:positionH>
          <wp:positionV relativeFrom="paragraph">
            <wp:posOffset>-6350</wp:posOffset>
          </wp:positionV>
          <wp:extent cx="6300470" cy="1890395"/>
          <wp:effectExtent l="0" t="0" r="0" b="1905"/>
          <wp:wrapNone/>
          <wp:docPr id="43" name="Picture 4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FCF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F6C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CE6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2AF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667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F822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0D7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84D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861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0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63842"/>
    <w:multiLevelType w:val="hybridMultilevel"/>
    <w:tmpl w:val="2F0406EE"/>
    <w:lvl w:ilvl="0" w:tplc="F3DC00F0">
      <w:numFmt w:val="bullet"/>
      <w:lvlText w:val="-"/>
      <w:lvlJc w:val="left"/>
      <w:pPr>
        <w:ind w:left="1069" w:hanging="360"/>
      </w:pPr>
      <w:rPr>
        <w:rFonts w:ascii="Calibri" w:eastAsiaTheme="minorHAnsi"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4BA6826"/>
    <w:multiLevelType w:val="multilevel"/>
    <w:tmpl w:val="1610CD90"/>
    <w:numStyleLink w:val="List1Numbered"/>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A632A9"/>
    <w:multiLevelType w:val="multilevel"/>
    <w:tmpl w:val="A41689A2"/>
    <w:numStyleLink w:val="AppendixNumbers"/>
  </w:abstractNum>
  <w:abstractNum w:abstractNumId="2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3" w15:restartNumberingAfterBreak="0">
    <w:nsid w:val="50517343"/>
    <w:multiLevelType w:val="multilevel"/>
    <w:tmpl w:val="131EEC6C"/>
    <w:numStyleLink w:val="TableNumbers"/>
  </w:abstractNum>
  <w:abstractNum w:abstractNumId="24" w15:restartNumberingAfterBreak="0">
    <w:nsid w:val="526A7CDE"/>
    <w:multiLevelType w:val="hybridMultilevel"/>
    <w:tmpl w:val="ED08C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F51665"/>
    <w:multiLevelType w:val="multilevel"/>
    <w:tmpl w:val="4E929216"/>
    <w:numStyleLink w:val="NumberedHeadings"/>
  </w:abstractNum>
  <w:abstractNum w:abstractNumId="29"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10831"/>
    <w:multiLevelType w:val="hybridMultilevel"/>
    <w:tmpl w:val="D4823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2" w15:restartNumberingAfterBreak="0">
    <w:nsid w:val="78FB7B0D"/>
    <w:multiLevelType w:val="hybridMultilevel"/>
    <w:tmpl w:val="928EC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E44065"/>
    <w:multiLevelType w:val="multilevel"/>
    <w:tmpl w:val="A41689A2"/>
    <w:numStyleLink w:val="AppendixNumbers"/>
  </w:abstractNum>
  <w:num w:numId="1">
    <w:abstractNumId w:val="13"/>
  </w:num>
  <w:num w:numId="2">
    <w:abstractNumId w:val="33"/>
    <w:lvlOverride w:ilvl="0">
      <w:lvl w:ilvl="0">
        <w:start w:val="1"/>
        <w:numFmt w:val="upperLetter"/>
        <w:suff w:val="space"/>
        <w:lvlText w:val="Appendix %1 –"/>
        <w:lvlJc w:val="left"/>
        <w:pPr>
          <w:ind w:left="2126" w:hanging="2126"/>
        </w:pPr>
        <w:rPr>
          <w:rFonts w:hint="default"/>
          <w:b/>
        </w:rPr>
      </w:lvl>
    </w:lvlOverride>
  </w:num>
  <w:num w:numId="3">
    <w:abstractNumId w:val="25"/>
  </w:num>
  <w:num w:numId="4">
    <w:abstractNumId w:val="22"/>
  </w:num>
  <w:num w:numId="5">
    <w:abstractNumId w:val="16"/>
  </w:num>
  <w:num w:numId="6">
    <w:abstractNumId w:val="26"/>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abstractNumId w:val="28"/>
  </w:num>
  <w:num w:numId="8">
    <w:abstractNumId w:val="15"/>
  </w:num>
  <w:num w:numId="9">
    <w:abstractNumId w:val="27"/>
  </w:num>
  <w:num w:numId="10">
    <w:abstractNumId w:val="20"/>
  </w:num>
  <w:num w:numId="11">
    <w:abstractNumId w:val="17"/>
  </w:num>
  <w:num w:numId="12">
    <w:abstractNumId w:val="23"/>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abstractNumId w:val="31"/>
  </w:num>
  <w:num w:numId="14">
    <w:abstractNumId w:val="19"/>
  </w:num>
  <w:num w:numId="15">
    <w:abstractNumId w:val="18"/>
  </w:num>
  <w:num w:numId="16">
    <w:abstractNumId w:val="18"/>
  </w:num>
  <w:num w:numId="17">
    <w:abstractNumId w:val="12"/>
  </w:num>
  <w:num w:numId="18">
    <w:abstractNumId w:val="14"/>
  </w:num>
  <w:num w:numId="19">
    <w:abstractNumId w:val="29"/>
  </w:num>
  <w:num w:numId="20">
    <w:abstractNumId w:val="21"/>
  </w:num>
  <w:num w:numId="21">
    <w:abstractNumId w:val="0"/>
  </w:num>
  <w:num w:numId="22">
    <w:abstractNumId w:val="1"/>
  </w:num>
  <w:num w:numId="23">
    <w:abstractNumId w:val="2"/>
  </w:num>
  <w:num w:numId="24">
    <w:abstractNumId w:val="3"/>
  </w:num>
  <w:num w:numId="25">
    <w:abstractNumId w:val="8"/>
  </w:num>
  <w:num w:numId="26">
    <w:abstractNumId w:val="4"/>
  </w:num>
  <w:num w:numId="27">
    <w:abstractNumId w:val="5"/>
  </w:num>
  <w:num w:numId="28">
    <w:abstractNumId w:val="6"/>
  </w:num>
  <w:num w:numId="29">
    <w:abstractNumId w:val="7"/>
  </w:num>
  <w:num w:numId="30">
    <w:abstractNumId w:val="9"/>
  </w:num>
  <w:num w:numId="31">
    <w:abstractNumId w:val="11"/>
  </w:num>
  <w:num w:numId="32">
    <w:abstractNumId w:val="24"/>
  </w:num>
  <w:num w:numId="33">
    <w:abstractNumId w:val="10"/>
  </w:num>
  <w:num w:numId="34">
    <w:abstractNumId w:val="32"/>
  </w:num>
  <w:num w:numId="3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401B"/>
    <w:rsid w:val="00006F13"/>
    <w:rsid w:val="00010CD6"/>
    <w:rsid w:val="00012458"/>
    <w:rsid w:val="00030D9B"/>
    <w:rsid w:val="00032EC7"/>
    <w:rsid w:val="0004730A"/>
    <w:rsid w:val="00057E99"/>
    <w:rsid w:val="00067184"/>
    <w:rsid w:val="00070E0C"/>
    <w:rsid w:val="00077449"/>
    <w:rsid w:val="00080615"/>
    <w:rsid w:val="00081DFA"/>
    <w:rsid w:val="00084532"/>
    <w:rsid w:val="000864CC"/>
    <w:rsid w:val="000A054D"/>
    <w:rsid w:val="000A5F11"/>
    <w:rsid w:val="000B4785"/>
    <w:rsid w:val="000B49AD"/>
    <w:rsid w:val="000C252F"/>
    <w:rsid w:val="000C54A5"/>
    <w:rsid w:val="000D6566"/>
    <w:rsid w:val="000E184A"/>
    <w:rsid w:val="000E6951"/>
    <w:rsid w:val="000F08A2"/>
    <w:rsid w:val="000F49F8"/>
    <w:rsid w:val="001003DD"/>
    <w:rsid w:val="00101BE1"/>
    <w:rsid w:val="00103E07"/>
    <w:rsid w:val="0010620F"/>
    <w:rsid w:val="00115E1F"/>
    <w:rsid w:val="00141453"/>
    <w:rsid w:val="00142271"/>
    <w:rsid w:val="00145495"/>
    <w:rsid w:val="00145928"/>
    <w:rsid w:val="001500B0"/>
    <w:rsid w:val="0015019C"/>
    <w:rsid w:val="00151D06"/>
    <w:rsid w:val="001613C3"/>
    <w:rsid w:val="00161B7E"/>
    <w:rsid w:val="0016440B"/>
    <w:rsid w:val="00164F54"/>
    <w:rsid w:val="00165F77"/>
    <w:rsid w:val="00177871"/>
    <w:rsid w:val="00186DBF"/>
    <w:rsid w:val="00190C51"/>
    <w:rsid w:val="001C100A"/>
    <w:rsid w:val="001D7A1C"/>
    <w:rsid w:val="001E5989"/>
    <w:rsid w:val="001E63DB"/>
    <w:rsid w:val="001F3F25"/>
    <w:rsid w:val="002000F2"/>
    <w:rsid w:val="002047E5"/>
    <w:rsid w:val="002070F2"/>
    <w:rsid w:val="00211760"/>
    <w:rsid w:val="00212E76"/>
    <w:rsid w:val="0021342C"/>
    <w:rsid w:val="00213AC3"/>
    <w:rsid w:val="00224065"/>
    <w:rsid w:val="0022720A"/>
    <w:rsid w:val="00230970"/>
    <w:rsid w:val="00234C94"/>
    <w:rsid w:val="002400E7"/>
    <w:rsid w:val="00242468"/>
    <w:rsid w:val="00246121"/>
    <w:rsid w:val="00260952"/>
    <w:rsid w:val="00261B72"/>
    <w:rsid w:val="00264D11"/>
    <w:rsid w:val="002664F1"/>
    <w:rsid w:val="00267760"/>
    <w:rsid w:val="00275320"/>
    <w:rsid w:val="00276B01"/>
    <w:rsid w:val="00277FC4"/>
    <w:rsid w:val="002804D3"/>
    <w:rsid w:val="0028225C"/>
    <w:rsid w:val="00282E92"/>
    <w:rsid w:val="00290FB4"/>
    <w:rsid w:val="00295C7B"/>
    <w:rsid w:val="002971EE"/>
    <w:rsid w:val="002A06B8"/>
    <w:rsid w:val="002B6340"/>
    <w:rsid w:val="002B6DAE"/>
    <w:rsid w:val="002C19AC"/>
    <w:rsid w:val="002D6EAA"/>
    <w:rsid w:val="002D7196"/>
    <w:rsid w:val="002F25A5"/>
    <w:rsid w:val="002F455A"/>
    <w:rsid w:val="002F4D22"/>
    <w:rsid w:val="002F6C59"/>
    <w:rsid w:val="002F7F3D"/>
    <w:rsid w:val="003033CC"/>
    <w:rsid w:val="003063E4"/>
    <w:rsid w:val="00307DA4"/>
    <w:rsid w:val="00320EAE"/>
    <w:rsid w:val="00325914"/>
    <w:rsid w:val="003334EC"/>
    <w:rsid w:val="00337DB9"/>
    <w:rsid w:val="003449A0"/>
    <w:rsid w:val="00356D05"/>
    <w:rsid w:val="00361582"/>
    <w:rsid w:val="00371EED"/>
    <w:rsid w:val="00376D67"/>
    <w:rsid w:val="0038124F"/>
    <w:rsid w:val="00381CE5"/>
    <w:rsid w:val="0038224C"/>
    <w:rsid w:val="003922A0"/>
    <w:rsid w:val="00393599"/>
    <w:rsid w:val="003A04E1"/>
    <w:rsid w:val="003A5A51"/>
    <w:rsid w:val="003B6659"/>
    <w:rsid w:val="003C6BD3"/>
    <w:rsid w:val="003D0067"/>
    <w:rsid w:val="003D47EF"/>
    <w:rsid w:val="003F6570"/>
    <w:rsid w:val="00401459"/>
    <w:rsid w:val="004038C2"/>
    <w:rsid w:val="0041201F"/>
    <w:rsid w:val="004154E2"/>
    <w:rsid w:val="00416790"/>
    <w:rsid w:val="00427619"/>
    <w:rsid w:val="00432EC5"/>
    <w:rsid w:val="00436D9C"/>
    <w:rsid w:val="00443B38"/>
    <w:rsid w:val="00443B70"/>
    <w:rsid w:val="0046359C"/>
    <w:rsid w:val="004669FE"/>
    <w:rsid w:val="0046719D"/>
    <w:rsid w:val="0047297A"/>
    <w:rsid w:val="004935B1"/>
    <w:rsid w:val="004953E1"/>
    <w:rsid w:val="004A5EE0"/>
    <w:rsid w:val="004B1AD0"/>
    <w:rsid w:val="004B32C6"/>
    <w:rsid w:val="004B4B22"/>
    <w:rsid w:val="004C092C"/>
    <w:rsid w:val="004C5D90"/>
    <w:rsid w:val="004D5EBA"/>
    <w:rsid w:val="004E62EE"/>
    <w:rsid w:val="004E69E8"/>
    <w:rsid w:val="004E7FC0"/>
    <w:rsid w:val="004F373E"/>
    <w:rsid w:val="004F4187"/>
    <w:rsid w:val="005004D7"/>
    <w:rsid w:val="005123BA"/>
    <w:rsid w:val="00520878"/>
    <w:rsid w:val="00523461"/>
    <w:rsid w:val="00534D53"/>
    <w:rsid w:val="005401BB"/>
    <w:rsid w:val="00564234"/>
    <w:rsid w:val="00573349"/>
    <w:rsid w:val="0057343D"/>
    <w:rsid w:val="00591C23"/>
    <w:rsid w:val="00591C70"/>
    <w:rsid w:val="00593567"/>
    <w:rsid w:val="00593CFA"/>
    <w:rsid w:val="005944F7"/>
    <w:rsid w:val="005A368C"/>
    <w:rsid w:val="005B1228"/>
    <w:rsid w:val="005B22D5"/>
    <w:rsid w:val="005B3706"/>
    <w:rsid w:val="005C2908"/>
    <w:rsid w:val="005C4EEC"/>
    <w:rsid w:val="005E64FA"/>
    <w:rsid w:val="005E7876"/>
    <w:rsid w:val="005E7CCA"/>
    <w:rsid w:val="005F174A"/>
    <w:rsid w:val="0060052E"/>
    <w:rsid w:val="00613B94"/>
    <w:rsid w:val="00621696"/>
    <w:rsid w:val="00632734"/>
    <w:rsid w:val="00632EF9"/>
    <w:rsid w:val="00635AD5"/>
    <w:rsid w:val="00641E95"/>
    <w:rsid w:val="00642FF7"/>
    <w:rsid w:val="006452D4"/>
    <w:rsid w:val="006464E8"/>
    <w:rsid w:val="00654AFB"/>
    <w:rsid w:val="006601F5"/>
    <w:rsid w:val="00673278"/>
    <w:rsid w:val="00676632"/>
    <w:rsid w:val="00680F04"/>
    <w:rsid w:val="00682645"/>
    <w:rsid w:val="006870DC"/>
    <w:rsid w:val="006A4E64"/>
    <w:rsid w:val="006A779C"/>
    <w:rsid w:val="006B32FC"/>
    <w:rsid w:val="006B3E11"/>
    <w:rsid w:val="006B5F77"/>
    <w:rsid w:val="006C4B6F"/>
    <w:rsid w:val="006C626C"/>
    <w:rsid w:val="006D213B"/>
    <w:rsid w:val="006D4092"/>
    <w:rsid w:val="006D6E39"/>
    <w:rsid w:val="006E2CB4"/>
    <w:rsid w:val="006E34AD"/>
    <w:rsid w:val="006E57BC"/>
    <w:rsid w:val="006E7174"/>
    <w:rsid w:val="006F033A"/>
    <w:rsid w:val="006F75EE"/>
    <w:rsid w:val="00703241"/>
    <w:rsid w:val="00707DCA"/>
    <w:rsid w:val="00712FBB"/>
    <w:rsid w:val="007168B2"/>
    <w:rsid w:val="0071692F"/>
    <w:rsid w:val="00721662"/>
    <w:rsid w:val="00743DA9"/>
    <w:rsid w:val="00755013"/>
    <w:rsid w:val="00763347"/>
    <w:rsid w:val="00763C26"/>
    <w:rsid w:val="00765564"/>
    <w:rsid w:val="00766079"/>
    <w:rsid w:val="00767E82"/>
    <w:rsid w:val="007705B8"/>
    <w:rsid w:val="00771B1B"/>
    <w:rsid w:val="0077737B"/>
    <w:rsid w:val="007908AE"/>
    <w:rsid w:val="00796C1A"/>
    <w:rsid w:val="007A4CCE"/>
    <w:rsid w:val="007C569F"/>
    <w:rsid w:val="007C74C1"/>
    <w:rsid w:val="007D5D7A"/>
    <w:rsid w:val="007E0A6C"/>
    <w:rsid w:val="007E77E9"/>
    <w:rsid w:val="007F7E8B"/>
    <w:rsid w:val="00803930"/>
    <w:rsid w:val="00807E04"/>
    <w:rsid w:val="00815B75"/>
    <w:rsid w:val="00821CE1"/>
    <w:rsid w:val="008363D9"/>
    <w:rsid w:val="00840B1B"/>
    <w:rsid w:val="008456E1"/>
    <w:rsid w:val="00846030"/>
    <w:rsid w:val="0084733E"/>
    <w:rsid w:val="00851FA5"/>
    <w:rsid w:val="00853AF7"/>
    <w:rsid w:val="00880608"/>
    <w:rsid w:val="00881CC7"/>
    <w:rsid w:val="00885C1E"/>
    <w:rsid w:val="00886877"/>
    <w:rsid w:val="00887208"/>
    <w:rsid w:val="008A005E"/>
    <w:rsid w:val="008A1D67"/>
    <w:rsid w:val="008A3ECB"/>
    <w:rsid w:val="008A59C9"/>
    <w:rsid w:val="008A6371"/>
    <w:rsid w:val="008A6783"/>
    <w:rsid w:val="008B66CF"/>
    <w:rsid w:val="008D10C7"/>
    <w:rsid w:val="008D2BD5"/>
    <w:rsid w:val="008E21DE"/>
    <w:rsid w:val="008E31D0"/>
    <w:rsid w:val="008F3C49"/>
    <w:rsid w:val="008F42EB"/>
    <w:rsid w:val="008F771A"/>
    <w:rsid w:val="00916062"/>
    <w:rsid w:val="00921F18"/>
    <w:rsid w:val="009232FC"/>
    <w:rsid w:val="00925210"/>
    <w:rsid w:val="00926820"/>
    <w:rsid w:val="00931AE9"/>
    <w:rsid w:val="00942817"/>
    <w:rsid w:val="00961DC8"/>
    <w:rsid w:val="00964CFF"/>
    <w:rsid w:val="00971C95"/>
    <w:rsid w:val="00975256"/>
    <w:rsid w:val="009831CB"/>
    <w:rsid w:val="00983B25"/>
    <w:rsid w:val="00983CBC"/>
    <w:rsid w:val="009849CD"/>
    <w:rsid w:val="00991675"/>
    <w:rsid w:val="009978A7"/>
    <w:rsid w:val="009A06C8"/>
    <w:rsid w:val="009A09AA"/>
    <w:rsid w:val="009A11B1"/>
    <w:rsid w:val="009B4261"/>
    <w:rsid w:val="009B67F0"/>
    <w:rsid w:val="009C08C3"/>
    <w:rsid w:val="009C6303"/>
    <w:rsid w:val="009D2CFA"/>
    <w:rsid w:val="009E0C75"/>
    <w:rsid w:val="009E3CF0"/>
    <w:rsid w:val="009E728A"/>
    <w:rsid w:val="009F200E"/>
    <w:rsid w:val="009F2488"/>
    <w:rsid w:val="009F34F6"/>
    <w:rsid w:val="009F70AA"/>
    <w:rsid w:val="00A07216"/>
    <w:rsid w:val="00A07E4A"/>
    <w:rsid w:val="00A1045A"/>
    <w:rsid w:val="00A10805"/>
    <w:rsid w:val="00A23239"/>
    <w:rsid w:val="00A23787"/>
    <w:rsid w:val="00A2785C"/>
    <w:rsid w:val="00A373B5"/>
    <w:rsid w:val="00A44325"/>
    <w:rsid w:val="00A51A9F"/>
    <w:rsid w:val="00A51F3F"/>
    <w:rsid w:val="00A56018"/>
    <w:rsid w:val="00A60E69"/>
    <w:rsid w:val="00A70EB4"/>
    <w:rsid w:val="00A71FEB"/>
    <w:rsid w:val="00A75E1B"/>
    <w:rsid w:val="00A7784D"/>
    <w:rsid w:val="00A8475F"/>
    <w:rsid w:val="00A915F4"/>
    <w:rsid w:val="00A941D9"/>
    <w:rsid w:val="00AA10E0"/>
    <w:rsid w:val="00AA2ED6"/>
    <w:rsid w:val="00AA72DA"/>
    <w:rsid w:val="00AB0D5D"/>
    <w:rsid w:val="00AB12D5"/>
    <w:rsid w:val="00AD202A"/>
    <w:rsid w:val="00AD2052"/>
    <w:rsid w:val="00AD735D"/>
    <w:rsid w:val="00AE1879"/>
    <w:rsid w:val="00AE66BA"/>
    <w:rsid w:val="00AF0899"/>
    <w:rsid w:val="00AF5BCC"/>
    <w:rsid w:val="00AF5EA9"/>
    <w:rsid w:val="00B14842"/>
    <w:rsid w:val="00B16FBD"/>
    <w:rsid w:val="00B204FC"/>
    <w:rsid w:val="00B3202D"/>
    <w:rsid w:val="00B3406D"/>
    <w:rsid w:val="00B42D84"/>
    <w:rsid w:val="00B500B9"/>
    <w:rsid w:val="00B56EF4"/>
    <w:rsid w:val="00B603C0"/>
    <w:rsid w:val="00B718D8"/>
    <w:rsid w:val="00B75CE8"/>
    <w:rsid w:val="00B76D9B"/>
    <w:rsid w:val="00BA6040"/>
    <w:rsid w:val="00BA7506"/>
    <w:rsid w:val="00BB093D"/>
    <w:rsid w:val="00BB22D6"/>
    <w:rsid w:val="00BB2EBA"/>
    <w:rsid w:val="00BC3896"/>
    <w:rsid w:val="00BC78FB"/>
    <w:rsid w:val="00BD1E78"/>
    <w:rsid w:val="00BE7818"/>
    <w:rsid w:val="00C02452"/>
    <w:rsid w:val="00C0405C"/>
    <w:rsid w:val="00C0421C"/>
    <w:rsid w:val="00C066FC"/>
    <w:rsid w:val="00C11CF2"/>
    <w:rsid w:val="00C11F05"/>
    <w:rsid w:val="00C14289"/>
    <w:rsid w:val="00C17D60"/>
    <w:rsid w:val="00C23C92"/>
    <w:rsid w:val="00C25556"/>
    <w:rsid w:val="00C329B3"/>
    <w:rsid w:val="00C33254"/>
    <w:rsid w:val="00C33EEF"/>
    <w:rsid w:val="00C4527D"/>
    <w:rsid w:val="00C473A5"/>
    <w:rsid w:val="00C517E2"/>
    <w:rsid w:val="00C67697"/>
    <w:rsid w:val="00C73BD1"/>
    <w:rsid w:val="00C75CAF"/>
    <w:rsid w:val="00C80EF1"/>
    <w:rsid w:val="00C85308"/>
    <w:rsid w:val="00CB18A8"/>
    <w:rsid w:val="00CB63D3"/>
    <w:rsid w:val="00CB6F47"/>
    <w:rsid w:val="00CC1A35"/>
    <w:rsid w:val="00CC6119"/>
    <w:rsid w:val="00CD17D1"/>
    <w:rsid w:val="00CD45A4"/>
    <w:rsid w:val="00CE289D"/>
    <w:rsid w:val="00CE4A14"/>
    <w:rsid w:val="00D1379D"/>
    <w:rsid w:val="00D20A13"/>
    <w:rsid w:val="00D21CE5"/>
    <w:rsid w:val="00D267B0"/>
    <w:rsid w:val="00D31CA4"/>
    <w:rsid w:val="00D42155"/>
    <w:rsid w:val="00D43E5F"/>
    <w:rsid w:val="00D45412"/>
    <w:rsid w:val="00D45769"/>
    <w:rsid w:val="00D4619A"/>
    <w:rsid w:val="00D608F6"/>
    <w:rsid w:val="00D664AE"/>
    <w:rsid w:val="00D66BC9"/>
    <w:rsid w:val="00D67D77"/>
    <w:rsid w:val="00D707CA"/>
    <w:rsid w:val="00D733B9"/>
    <w:rsid w:val="00D9141C"/>
    <w:rsid w:val="00D916E1"/>
    <w:rsid w:val="00D93D1B"/>
    <w:rsid w:val="00D95845"/>
    <w:rsid w:val="00DA229B"/>
    <w:rsid w:val="00DB4A62"/>
    <w:rsid w:val="00DB5D16"/>
    <w:rsid w:val="00DC28A1"/>
    <w:rsid w:val="00DD412C"/>
    <w:rsid w:val="00DD70B6"/>
    <w:rsid w:val="00DE1691"/>
    <w:rsid w:val="00DF5341"/>
    <w:rsid w:val="00DF74BA"/>
    <w:rsid w:val="00E0573E"/>
    <w:rsid w:val="00E06B80"/>
    <w:rsid w:val="00E15F41"/>
    <w:rsid w:val="00E234EE"/>
    <w:rsid w:val="00E25BDA"/>
    <w:rsid w:val="00E274D6"/>
    <w:rsid w:val="00E27695"/>
    <w:rsid w:val="00E302F1"/>
    <w:rsid w:val="00E33FAE"/>
    <w:rsid w:val="00E36CD5"/>
    <w:rsid w:val="00E37C6E"/>
    <w:rsid w:val="00E4408B"/>
    <w:rsid w:val="00E54DD2"/>
    <w:rsid w:val="00E5677A"/>
    <w:rsid w:val="00E56AD8"/>
    <w:rsid w:val="00E67804"/>
    <w:rsid w:val="00E75C06"/>
    <w:rsid w:val="00E84B2E"/>
    <w:rsid w:val="00E93772"/>
    <w:rsid w:val="00E93773"/>
    <w:rsid w:val="00E9587E"/>
    <w:rsid w:val="00E95DF8"/>
    <w:rsid w:val="00EA1387"/>
    <w:rsid w:val="00EA3635"/>
    <w:rsid w:val="00EA3E6F"/>
    <w:rsid w:val="00EA6A74"/>
    <w:rsid w:val="00EC5703"/>
    <w:rsid w:val="00ED2E00"/>
    <w:rsid w:val="00ED32E2"/>
    <w:rsid w:val="00ED5085"/>
    <w:rsid w:val="00EE2D53"/>
    <w:rsid w:val="00EE7E29"/>
    <w:rsid w:val="00EF399A"/>
    <w:rsid w:val="00F06438"/>
    <w:rsid w:val="00F0724B"/>
    <w:rsid w:val="00F1023D"/>
    <w:rsid w:val="00F12560"/>
    <w:rsid w:val="00F21617"/>
    <w:rsid w:val="00F226E9"/>
    <w:rsid w:val="00F2778D"/>
    <w:rsid w:val="00F27D7E"/>
    <w:rsid w:val="00F30677"/>
    <w:rsid w:val="00F331C8"/>
    <w:rsid w:val="00F339A1"/>
    <w:rsid w:val="00F42E37"/>
    <w:rsid w:val="00F70925"/>
    <w:rsid w:val="00F767BF"/>
    <w:rsid w:val="00F8096B"/>
    <w:rsid w:val="00F86B38"/>
    <w:rsid w:val="00F921CD"/>
    <w:rsid w:val="00F9318C"/>
    <w:rsid w:val="00F97BB1"/>
    <w:rsid w:val="00FA0FC1"/>
    <w:rsid w:val="00FC587B"/>
    <w:rsid w:val="00FD0EC0"/>
    <w:rsid w:val="00FD13CA"/>
    <w:rsid w:val="00FE4D12"/>
    <w:rsid w:val="00FE641D"/>
    <w:rsid w:val="00FF07EB"/>
    <w:rsid w:val="00FF1E04"/>
    <w:rsid w:val="32D411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5C647D69-0017-43CD-ABFF-705F0798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CA"/>
    <w:pPr>
      <w:suppressAutoHyphens/>
      <w:spacing w:line="360" w:lineRule="auto"/>
    </w:pPr>
    <w:rPr>
      <w:rFonts w:ascii="Calibri" w:hAnsi="Calibri"/>
    </w:rPr>
  </w:style>
  <w:style w:type="paragraph" w:styleId="Heading1">
    <w:name w:val="heading 1"/>
    <w:basedOn w:val="Normal"/>
    <w:next w:val="Normal"/>
    <w:link w:val="Heading1Char"/>
    <w:uiPriority w:val="4"/>
    <w:qFormat/>
    <w:rsid w:val="00242468"/>
    <w:pPr>
      <w:keepNext/>
      <w:keepLines/>
      <w:pageBreakBefore/>
      <w:spacing w:before="560" w:after="360" w:line="700" w:lineRule="atLeast"/>
      <w:outlineLvl w:val="0"/>
    </w:pPr>
    <w:rPr>
      <w:rFonts w:eastAsiaTheme="majorEastAsia" w:cstheme="majorBidi"/>
      <w:b/>
      <w:color w:val="0C233F"/>
      <w:sz w:val="60"/>
      <w:szCs w:val="32"/>
    </w:rPr>
  </w:style>
  <w:style w:type="paragraph" w:styleId="Heading2">
    <w:name w:val="heading 2"/>
    <w:basedOn w:val="Normal"/>
    <w:next w:val="Normal"/>
    <w:link w:val="Heading2Char"/>
    <w:uiPriority w:val="4"/>
    <w:qFormat/>
    <w:rsid w:val="006E57BC"/>
    <w:pPr>
      <w:keepNext/>
      <w:keepLines/>
      <w:spacing w:before="280" w:line="420" w:lineRule="atLeast"/>
      <w:outlineLvl w:val="1"/>
    </w:pPr>
    <w:rPr>
      <w:rFonts w:eastAsiaTheme="majorEastAsia" w:cstheme="majorBidi"/>
      <w:b/>
      <w:color w:val="0C233F"/>
      <w:sz w:val="36"/>
      <w:szCs w:val="26"/>
    </w:rPr>
  </w:style>
  <w:style w:type="paragraph" w:styleId="Heading3">
    <w:name w:val="heading 3"/>
    <w:basedOn w:val="Normal"/>
    <w:next w:val="Normal"/>
    <w:link w:val="Heading3Char"/>
    <w:autoRedefine/>
    <w:uiPriority w:val="4"/>
    <w:qFormat/>
    <w:rsid w:val="00BA6040"/>
    <w:pPr>
      <w:keepNext/>
      <w:keepLines/>
      <w:spacing w:before="280" w:after="240" w:line="340" w:lineRule="atLeast"/>
      <w:outlineLvl w:val="2"/>
    </w:pPr>
    <w:rPr>
      <w:rFonts w:eastAsiaTheme="majorEastAsia" w:cstheme="majorBidi"/>
      <w:b/>
      <w:color w:val="0C233F"/>
      <w:sz w:val="28"/>
      <w:szCs w:val="24"/>
    </w:rPr>
  </w:style>
  <w:style w:type="paragraph" w:styleId="Heading4">
    <w:name w:val="heading 4"/>
    <w:basedOn w:val="Normal"/>
    <w:next w:val="Normal"/>
    <w:link w:val="Heading4Char"/>
    <w:autoRedefine/>
    <w:uiPriority w:val="4"/>
    <w:unhideWhenUsed/>
    <w:qFormat/>
    <w:rsid w:val="00707DCA"/>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361582"/>
    <w:pPr>
      <w:tabs>
        <w:tab w:val="right" w:pos="9923"/>
      </w:tabs>
      <w:spacing w:before="0" w:after="0"/>
    </w:pPr>
    <w:rPr>
      <w:color w:val="auto"/>
    </w:rPr>
  </w:style>
  <w:style w:type="character" w:customStyle="1" w:styleId="FooterChar">
    <w:name w:val="Footer Char"/>
    <w:aliases w:val="Footer - white Char"/>
    <w:basedOn w:val="DefaultParagraphFont"/>
    <w:link w:val="Footer"/>
    <w:uiPriority w:val="99"/>
    <w:rsid w:val="00361582"/>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6E57BC"/>
    <w:rPr>
      <w:rFonts w:ascii="Calibri" w:eastAsiaTheme="majorEastAsia" w:hAnsi="Calibri" w:cstheme="majorBidi"/>
      <w:b/>
      <w:color w:val="0C233F"/>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881CC7"/>
    <w:pPr>
      <w:jc w:val="right"/>
    </w:pPr>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aliases w:val="AFPC Footnote Reference,NO"/>
    <w:basedOn w:val="DefaultParagraphFont"/>
    <w:rsid w:val="00AF0899"/>
    <w:rPr>
      <w:rFonts w:ascii="Lato" w:hAnsi="Lato"/>
      <w:vertAlign w:val="superscript"/>
    </w:rPr>
  </w:style>
  <w:style w:type="paragraph" w:styleId="FootnoteText">
    <w:name w:val="footnote text"/>
    <w:aliases w:val="Footnote Text Char2 Char,Footnote Text Char1 Char Char1,Footnote Text Char Char Char Char1,Footnote Text Char Char1 Char1,Footnote Text Char1 Char1,Footnote Text Char Char Char,Footnote Text Char1 Char Char Char,Car,FN"/>
    <w:basedOn w:val="Normal"/>
    <w:link w:val="FootnoteTextChar"/>
    <w:rsid w:val="00AF0899"/>
    <w:pPr>
      <w:spacing w:before="60" w:after="60"/>
    </w:pPr>
    <w:rPr>
      <w:sz w:val="18"/>
    </w:rPr>
  </w:style>
  <w:style w:type="character" w:customStyle="1" w:styleId="FootnoteTextChar">
    <w:name w:val="Footnote Text Char"/>
    <w:aliases w:val="Footnote Text Char2 Char Char,Footnote Text Char1 Char Char1 Char,Footnote Text Char Char Char Char1 Char,Footnote Text Char Char1 Char1 Char,Footnote Text Char1 Char1 Char,Footnote Text Char Char Char Char,Car Char,FN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242468"/>
    <w:rPr>
      <w:rFonts w:ascii="Calibri" w:eastAsiaTheme="majorEastAsia" w:hAnsi="Calibri" w:cstheme="majorBidi"/>
      <w:b/>
      <w:color w:val="0C233F"/>
      <w:sz w:val="60"/>
      <w:szCs w:val="32"/>
    </w:rPr>
  </w:style>
  <w:style w:type="character" w:customStyle="1" w:styleId="Heading3Char">
    <w:name w:val="Heading 3 Char"/>
    <w:basedOn w:val="DefaultParagraphFont"/>
    <w:link w:val="Heading3"/>
    <w:uiPriority w:val="4"/>
    <w:rsid w:val="00BA6040"/>
    <w:rPr>
      <w:rFonts w:ascii="Calibri" w:eastAsiaTheme="majorEastAsia" w:hAnsi="Calibri" w:cstheme="majorBidi"/>
      <w:b/>
      <w:color w:val="0C233F"/>
      <w:sz w:val="28"/>
      <w:szCs w:val="24"/>
    </w:rPr>
  </w:style>
  <w:style w:type="character" w:customStyle="1" w:styleId="Heading4Char">
    <w:name w:val="Heading 4 Char"/>
    <w:basedOn w:val="DefaultParagraphFont"/>
    <w:link w:val="Heading4"/>
    <w:uiPriority w:val="4"/>
    <w:rsid w:val="00707DCA"/>
    <w:rPr>
      <w:rFonts w:ascii="Calibri" w:eastAsiaTheme="majorEastAsia" w:hAnsi="Calibri" w:cstheme="majorBidi"/>
      <w:b/>
      <w:iCs/>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006F13"/>
    <w:rPr>
      <w:rFonts w:ascii="Lato" w:hAnsi="Lato"/>
      <w:color w:val="E7B100" w:themeColor="accent1"/>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B3202D"/>
    <w:pPr>
      <w:spacing w:before="360" w:after="360" w:line="420" w:lineRule="atLeast"/>
    </w:pPr>
    <w:rPr>
      <w:color w:val="0C233F"/>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33"/>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881CC7"/>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paragraph" w:styleId="TOC2">
    <w:name w:val="toc 2"/>
    <w:basedOn w:val="Normal"/>
    <w:next w:val="Normal"/>
    <w:autoRedefine/>
    <w:uiPriority w:val="39"/>
    <w:unhideWhenUsed/>
    <w:rsid w:val="006E34AD"/>
    <w:pPr>
      <w:spacing w:after="100"/>
      <w:ind w:left="220"/>
    </w:pPr>
  </w:style>
  <w:style w:type="paragraph" w:styleId="TOC1">
    <w:name w:val="toc 1"/>
    <w:basedOn w:val="Normal"/>
    <w:next w:val="Normal"/>
    <w:autoRedefine/>
    <w:uiPriority w:val="39"/>
    <w:unhideWhenUsed/>
    <w:qFormat/>
    <w:rsid w:val="002000F2"/>
    <w:pPr>
      <w:tabs>
        <w:tab w:val="right" w:leader="dot" w:pos="9912"/>
      </w:tabs>
      <w:spacing w:before="0" w:after="0"/>
    </w:pPr>
  </w:style>
  <w:style w:type="paragraph" w:styleId="NormalWeb">
    <w:name w:val="Normal (Web)"/>
    <w:basedOn w:val="Normal"/>
    <w:uiPriority w:val="99"/>
    <w:unhideWhenUsed/>
    <w:rsid w:val="006E34A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E9587E"/>
    <w:rPr>
      <w:sz w:val="16"/>
      <w:szCs w:val="16"/>
    </w:rPr>
  </w:style>
  <w:style w:type="paragraph" w:styleId="CommentText">
    <w:name w:val="annotation text"/>
    <w:basedOn w:val="Normal"/>
    <w:link w:val="CommentTextChar"/>
    <w:uiPriority w:val="99"/>
    <w:semiHidden/>
    <w:unhideWhenUsed/>
    <w:rsid w:val="00E9587E"/>
    <w:pPr>
      <w:spacing w:line="240" w:lineRule="auto"/>
    </w:pPr>
    <w:rPr>
      <w:sz w:val="20"/>
      <w:szCs w:val="20"/>
    </w:rPr>
  </w:style>
  <w:style w:type="character" w:customStyle="1" w:styleId="CommentTextChar">
    <w:name w:val="Comment Text Char"/>
    <w:basedOn w:val="DefaultParagraphFont"/>
    <w:link w:val="CommentText"/>
    <w:uiPriority w:val="99"/>
    <w:semiHidden/>
    <w:rsid w:val="00E958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9587E"/>
    <w:rPr>
      <w:b/>
      <w:bCs/>
    </w:rPr>
  </w:style>
  <w:style w:type="character" w:customStyle="1" w:styleId="CommentSubjectChar">
    <w:name w:val="Comment Subject Char"/>
    <w:basedOn w:val="CommentTextChar"/>
    <w:link w:val="CommentSubject"/>
    <w:uiPriority w:val="99"/>
    <w:semiHidden/>
    <w:rsid w:val="00E9587E"/>
    <w:rPr>
      <w:rFonts w:ascii="Calibri" w:hAnsi="Calibri"/>
      <w:b/>
      <w:bCs/>
      <w:sz w:val="20"/>
      <w:szCs w:val="20"/>
    </w:rPr>
  </w:style>
  <w:style w:type="paragraph" w:customStyle="1" w:styleId="MWRHeading3">
    <w:name w:val="MWR_Heading_3"/>
    <w:basedOn w:val="Normal"/>
    <w:next w:val="Normal"/>
    <w:rsid w:val="00FE641D"/>
    <w:pPr>
      <w:keepNext/>
      <w:tabs>
        <w:tab w:val="left" w:pos="992"/>
      </w:tabs>
      <w:suppressAutoHyphens w:val="0"/>
      <w:spacing w:before="240" w:after="120" w:line="280" w:lineRule="exact"/>
      <w:outlineLvl w:val="2"/>
    </w:pPr>
    <w:rPr>
      <w:rFonts w:ascii="Arial" w:eastAsia="Times New Roman" w:hAnsi="Arial" w:cs="Times New Roman"/>
      <w:b/>
      <w:color w:val="auto"/>
      <w:szCs w:val="24"/>
      <w:lang w:eastAsia="en-AU"/>
    </w:rPr>
  </w:style>
  <w:style w:type="paragraph" w:styleId="TOC3">
    <w:name w:val="toc 3"/>
    <w:basedOn w:val="Normal"/>
    <w:next w:val="Normal"/>
    <w:autoRedefine/>
    <w:uiPriority w:val="39"/>
    <w:unhideWhenUsed/>
    <w:rsid w:val="002000F2"/>
    <w:pPr>
      <w:spacing w:after="100"/>
      <w:ind w:left="440"/>
    </w:pPr>
  </w:style>
  <w:style w:type="character" w:styleId="UnresolvedMention">
    <w:name w:val="Unresolved Mention"/>
    <w:basedOn w:val="DefaultParagraphFont"/>
    <w:uiPriority w:val="99"/>
    <w:semiHidden/>
    <w:unhideWhenUsed/>
    <w:rsid w:val="001E6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93198">
      <w:bodyDiv w:val="1"/>
      <w:marLeft w:val="0"/>
      <w:marRight w:val="0"/>
      <w:marTop w:val="0"/>
      <w:marBottom w:val="0"/>
      <w:divBdr>
        <w:top w:val="none" w:sz="0" w:space="0" w:color="auto"/>
        <w:left w:val="none" w:sz="0" w:space="0" w:color="auto"/>
        <w:bottom w:val="none" w:sz="0" w:space="0" w:color="auto"/>
        <w:right w:val="none" w:sz="0" w:space="0" w:color="auto"/>
      </w:divBdr>
    </w:div>
    <w:div w:id="1575818716">
      <w:bodyDiv w:val="1"/>
      <w:marLeft w:val="0"/>
      <w:marRight w:val="0"/>
      <w:marTop w:val="0"/>
      <w:marBottom w:val="0"/>
      <w:divBdr>
        <w:top w:val="none" w:sz="0" w:space="0" w:color="auto"/>
        <w:left w:val="none" w:sz="0" w:space="0" w:color="auto"/>
        <w:bottom w:val="none" w:sz="0" w:space="0" w:color="auto"/>
        <w:right w:val="none" w:sz="0" w:space="0" w:color="auto"/>
      </w:divBdr>
    </w:div>
    <w:div w:id="184859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to.gov.au/General/New-legislation/In-detail/Direct-taxes/Income-tax-for-businesses/Small-Business-Technology-Investment-Boost-and-Small-Business-Skills-and-Training-Boost/" TargetMode="External"/><Relationship Id="rId3" Type="http://schemas.openxmlformats.org/officeDocument/2006/relationships/hyperlink" Target="https://www.legislation.gov.au/Details/C2022A00014" TargetMode="External"/><Relationship Id="rId7" Type="http://schemas.openxmlformats.org/officeDocument/2006/relationships/hyperlink" Target="https://www.ato.gov.au/General/New-legislation/In-detail/Direct-taxes/Income-tax-for-businesses/Small-Business-Technology-Investment-Boost-and-Small-Business-Skills-and-Training-Boost/" TargetMode="External"/><Relationship Id="rId2" Type="http://schemas.openxmlformats.org/officeDocument/2006/relationships/hyperlink" Target="https://www.legislation.gov.au/Details/C2022A00014" TargetMode="External"/><Relationship Id="rId1" Type="http://schemas.openxmlformats.org/officeDocument/2006/relationships/hyperlink" Target="https://www.legislation.gov.au/Details/C2022A00014" TargetMode="External"/><Relationship Id="rId6" Type="http://schemas.openxmlformats.org/officeDocument/2006/relationships/hyperlink" Target="https://www.ato.gov.au/General/New-legislation/In-detail/Direct-taxes/Income-tax-for-businesses/Small-Business-Technology-Investment-Boost-and-Small-Business-Skills-and-Training-Boost/" TargetMode="External"/><Relationship Id="rId5" Type="http://schemas.openxmlformats.org/officeDocument/2006/relationships/hyperlink" Target="https://www.ato.gov.au/General/New-legislation/In-detail/Direct-taxes/Income-tax-for-businesses/Small-Business-Technology-Investment-Boost-and-Small-Business-Skills-and-Training-Boost/" TargetMode="External"/><Relationship Id="rId4" Type="http://schemas.openxmlformats.org/officeDocument/2006/relationships/hyperlink" Target="https://www.legislation.gov.au/Details/C2022A00015" TargetMode="External"/><Relationship Id="rId9" Type="http://schemas.openxmlformats.org/officeDocument/2006/relationships/hyperlink" Target="https://www.dese.gov.au/boosting-apprenticeship-commencements/resources/boosting-apprenticeships-commencements-fact-she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2" ma:contentTypeDescription="Create a new document." ma:contentTypeScope="" ma:versionID="ec6e4519c1d524fff45b216d4e17203c">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22f62e08a16af50dbc0365f1a6df74d7"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C8197AEB-8366-4669-9823-2C98D98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2e374-3438-4da0-9a49-f9494b244da9"/>
    <ds:schemaRef ds:uri="23df2aa0-1cf6-4951-a9e6-bb46b70a8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929</TotalTime>
  <Pages>5</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Links>
    <vt:vector size="108" baseType="variant">
      <vt:variant>
        <vt:i4>1441842</vt:i4>
      </vt:variant>
      <vt:variant>
        <vt:i4>50</vt:i4>
      </vt:variant>
      <vt:variant>
        <vt:i4>0</vt:i4>
      </vt:variant>
      <vt:variant>
        <vt:i4>5</vt:i4>
      </vt:variant>
      <vt:variant>
        <vt:lpwstr/>
      </vt:variant>
      <vt:variant>
        <vt:lpwstr>_Toc100574401</vt:lpwstr>
      </vt:variant>
      <vt:variant>
        <vt:i4>1441842</vt:i4>
      </vt:variant>
      <vt:variant>
        <vt:i4>44</vt:i4>
      </vt:variant>
      <vt:variant>
        <vt:i4>0</vt:i4>
      </vt:variant>
      <vt:variant>
        <vt:i4>5</vt:i4>
      </vt:variant>
      <vt:variant>
        <vt:lpwstr/>
      </vt:variant>
      <vt:variant>
        <vt:lpwstr>_Toc100574400</vt:lpwstr>
      </vt:variant>
      <vt:variant>
        <vt:i4>2031669</vt:i4>
      </vt:variant>
      <vt:variant>
        <vt:i4>38</vt:i4>
      </vt:variant>
      <vt:variant>
        <vt:i4>0</vt:i4>
      </vt:variant>
      <vt:variant>
        <vt:i4>5</vt:i4>
      </vt:variant>
      <vt:variant>
        <vt:lpwstr/>
      </vt:variant>
      <vt:variant>
        <vt:lpwstr>_Toc100574399</vt:lpwstr>
      </vt:variant>
      <vt:variant>
        <vt:i4>2031669</vt:i4>
      </vt:variant>
      <vt:variant>
        <vt:i4>32</vt:i4>
      </vt:variant>
      <vt:variant>
        <vt:i4>0</vt:i4>
      </vt:variant>
      <vt:variant>
        <vt:i4>5</vt:i4>
      </vt:variant>
      <vt:variant>
        <vt:lpwstr/>
      </vt:variant>
      <vt:variant>
        <vt:lpwstr>_Toc100574398</vt:lpwstr>
      </vt:variant>
      <vt:variant>
        <vt:i4>2031669</vt:i4>
      </vt:variant>
      <vt:variant>
        <vt:i4>26</vt:i4>
      </vt:variant>
      <vt:variant>
        <vt:i4>0</vt:i4>
      </vt:variant>
      <vt:variant>
        <vt:i4>5</vt:i4>
      </vt:variant>
      <vt:variant>
        <vt:lpwstr/>
      </vt:variant>
      <vt:variant>
        <vt:lpwstr>_Toc100574397</vt:lpwstr>
      </vt:variant>
      <vt:variant>
        <vt:i4>2031669</vt:i4>
      </vt:variant>
      <vt:variant>
        <vt:i4>20</vt:i4>
      </vt:variant>
      <vt:variant>
        <vt:i4>0</vt:i4>
      </vt:variant>
      <vt:variant>
        <vt:i4>5</vt:i4>
      </vt:variant>
      <vt:variant>
        <vt:lpwstr/>
      </vt:variant>
      <vt:variant>
        <vt:lpwstr>_Toc100574396</vt:lpwstr>
      </vt:variant>
      <vt:variant>
        <vt:i4>2031669</vt:i4>
      </vt:variant>
      <vt:variant>
        <vt:i4>14</vt:i4>
      </vt:variant>
      <vt:variant>
        <vt:i4>0</vt:i4>
      </vt:variant>
      <vt:variant>
        <vt:i4>5</vt:i4>
      </vt:variant>
      <vt:variant>
        <vt:lpwstr/>
      </vt:variant>
      <vt:variant>
        <vt:lpwstr>_Toc100574395</vt:lpwstr>
      </vt:variant>
      <vt:variant>
        <vt:i4>2031669</vt:i4>
      </vt:variant>
      <vt:variant>
        <vt:i4>8</vt:i4>
      </vt:variant>
      <vt:variant>
        <vt:i4>0</vt:i4>
      </vt:variant>
      <vt:variant>
        <vt:i4>5</vt:i4>
      </vt:variant>
      <vt:variant>
        <vt:lpwstr/>
      </vt:variant>
      <vt:variant>
        <vt:lpwstr>_Toc100574394</vt:lpwstr>
      </vt:variant>
      <vt:variant>
        <vt:i4>2031669</vt:i4>
      </vt:variant>
      <vt:variant>
        <vt:i4>2</vt:i4>
      </vt:variant>
      <vt:variant>
        <vt:i4>0</vt:i4>
      </vt:variant>
      <vt:variant>
        <vt:i4>5</vt:i4>
      </vt:variant>
      <vt:variant>
        <vt:lpwstr/>
      </vt:variant>
      <vt:variant>
        <vt:lpwstr>_Toc100574393</vt:lpwstr>
      </vt:variant>
      <vt:variant>
        <vt:i4>1114186</vt:i4>
      </vt:variant>
      <vt:variant>
        <vt:i4>24</vt:i4>
      </vt:variant>
      <vt:variant>
        <vt:i4>0</vt:i4>
      </vt:variant>
      <vt:variant>
        <vt:i4>5</vt:i4>
      </vt:variant>
      <vt:variant>
        <vt:lpwstr>https://www.dese.gov.au/boosting-apprenticeship-commencements/resources/boosting-apprenticeships-commencements-fact-sheet</vt:lpwstr>
      </vt:variant>
      <vt:variant>
        <vt:lpwstr/>
      </vt:variant>
      <vt:variant>
        <vt:i4>1900552</vt:i4>
      </vt:variant>
      <vt:variant>
        <vt:i4>21</vt:i4>
      </vt:variant>
      <vt:variant>
        <vt:i4>0</vt:i4>
      </vt:variant>
      <vt:variant>
        <vt:i4>5</vt:i4>
      </vt:variant>
      <vt:variant>
        <vt:lpwstr>https://www.ato.gov.au/General/New-legislation/In-detail/Direct-taxes/Income-tax-for-businesses/Small-Business-Technology-Investment-Boost-and-Small-Business-Skills-and-Training-Boost/</vt:lpwstr>
      </vt:variant>
      <vt:variant>
        <vt:lpwstr/>
      </vt:variant>
      <vt:variant>
        <vt:i4>1900552</vt:i4>
      </vt:variant>
      <vt:variant>
        <vt:i4>18</vt:i4>
      </vt:variant>
      <vt:variant>
        <vt:i4>0</vt:i4>
      </vt:variant>
      <vt:variant>
        <vt:i4>5</vt:i4>
      </vt:variant>
      <vt:variant>
        <vt:lpwstr>https://www.ato.gov.au/General/New-legislation/In-detail/Direct-taxes/Income-tax-for-businesses/Small-Business-Technology-Investment-Boost-and-Small-Business-Skills-and-Training-Boost/</vt:lpwstr>
      </vt:variant>
      <vt:variant>
        <vt:lpwstr/>
      </vt:variant>
      <vt:variant>
        <vt:i4>1900552</vt:i4>
      </vt:variant>
      <vt:variant>
        <vt:i4>15</vt:i4>
      </vt:variant>
      <vt:variant>
        <vt:i4>0</vt:i4>
      </vt:variant>
      <vt:variant>
        <vt:i4>5</vt:i4>
      </vt:variant>
      <vt:variant>
        <vt:lpwstr>https://www.ato.gov.au/General/New-legislation/In-detail/Direct-taxes/Income-tax-for-businesses/Small-Business-Technology-Investment-Boost-and-Small-Business-Skills-and-Training-Boost/</vt:lpwstr>
      </vt:variant>
      <vt:variant>
        <vt:lpwstr/>
      </vt:variant>
      <vt:variant>
        <vt:i4>1900552</vt:i4>
      </vt:variant>
      <vt:variant>
        <vt:i4>12</vt:i4>
      </vt:variant>
      <vt:variant>
        <vt:i4>0</vt:i4>
      </vt:variant>
      <vt:variant>
        <vt:i4>5</vt:i4>
      </vt:variant>
      <vt:variant>
        <vt:lpwstr>https://www.ato.gov.au/General/New-legislation/In-detail/Direct-taxes/Income-tax-for-businesses/Small-Business-Technology-Investment-Boost-and-Small-Business-Skills-and-Training-Boost/</vt:lpwstr>
      </vt:variant>
      <vt:variant>
        <vt:lpwstr/>
      </vt:variant>
      <vt:variant>
        <vt:i4>7798822</vt:i4>
      </vt:variant>
      <vt:variant>
        <vt:i4>9</vt:i4>
      </vt:variant>
      <vt:variant>
        <vt:i4>0</vt:i4>
      </vt:variant>
      <vt:variant>
        <vt:i4>5</vt:i4>
      </vt:variant>
      <vt:variant>
        <vt:lpwstr>https://www.legislation.gov.au/Details/C2022A00015</vt:lpwstr>
      </vt:variant>
      <vt:variant>
        <vt:lpwstr/>
      </vt:variant>
      <vt:variant>
        <vt:i4>7733286</vt:i4>
      </vt:variant>
      <vt:variant>
        <vt:i4>6</vt:i4>
      </vt:variant>
      <vt:variant>
        <vt:i4>0</vt:i4>
      </vt:variant>
      <vt:variant>
        <vt:i4>5</vt:i4>
      </vt:variant>
      <vt:variant>
        <vt:lpwstr>https://www.legislation.gov.au/Details/C2022A00014</vt:lpwstr>
      </vt:variant>
      <vt:variant>
        <vt:lpwstr/>
      </vt:variant>
      <vt:variant>
        <vt:i4>7733286</vt:i4>
      </vt:variant>
      <vt:variant>
        <vt:i4>3</vt:i4>
      </vt:variant>
      <vt:variant>
        <vt:i4>0</vt:i4>
      </vt:variant>
      <vt:variant>
        <vt:i4>5</vt:i4>
      </vt:variant>
      <vt:variant>
        <vt:lpwstr>https://www.legislation.gov.au/Details/C2022A00014</vt:lpwstr>
      </vt:variant>
      <vt:variant>
        <vt:lpwstr/>
      </vt:variant>
      <vt:variant>
        <vt:i4>7733286</vt:i4>
      </vt:variant>
      <vt:variant>
        <vt:i4>0</vt:i4>
      </vt:variant>
      <vt:variant>
        <vt:i4>0</vt:i4>
      </vt:variant>
      <vt:variant>
        <vt:i4>5</vt:i4>
      </vt:variant>
      <vt:variant>
        <vt:lpwstr>https://www.legislation.gov.au/Details/C2022A00014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David Rozenbes</cp:lastModifiedBy>
  <cp:revision>135</cp:revision>
  <cp:lastPrinted>2019-02-01T22:58:00Z</cp:lastPrinted>
  <dcterms:created xsi:type="dcterms:W3CDTF">2022-04-11T01:40:00Z</dcterms:created>
  <dcterms:modified xsi:type="dcterms:W3CDTF">2022-04-14T04:33:00Z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0x010100F8889FF6C358674CBC264950D1169B19</vt:lpwstr>
  </property>
  <property fmtid="{D5CDD505-2E9C-101B-9397-08002B2CF9AE}" pid="3" name="AuthorIds_UIVersion_7680">
    <vt:lpwstr>42,82</vt:lpwstr>
  </property>
  <property fmtid="{D5CDD505-2E9C-101B-9397-08002B2CF9AE}" pid="4" name="Order">
    <vt:r8>170000</vt:r8>
  </property>
</Properties>
</file>